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5651EC75">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26A8DF"/>
                        </a:solidFill>
                        <a:ln w="9525">
                          <a:noFill/>
                          <a:miter lim="800000"/>
                          <a:headEnd/>
                          <a:tailEnd/>
                        </a:ln>
                      </wps:spPr>
                      <wps:txbx>
                        <w:txbxContent>
                          <w:p w14:paraId="5C2A0B0F" w14:textId="10392209" w:rsidR="00E119A5" w:rsidRPr="002B03BC" w:rsidRDefault="00B371FA" w:rsidP="000916C7">
                            <w:pPr>
                              <w:pStyle w:val="Heading1"/>
                              <w:rPr>
                                <w:color w:val="FFFFFF" w:themeColor="background1"/>
                              </w:rPr>
                            </w:pPr>
                            <w:bookmarkStart w:id="0" w:name="An_Inclusive_Environment"/>
                            <w:bookmarkStart w:id="1" w:name="_Toc40898366"/>
                            <w:bookmarkStart w:id="2" w:name="_Toc41638313"/>
                            <w:bookmarkEnd w:id="0"/>
                            <w:r>
                              <w:rPr>
                                <w:color w:val="FFFFFF" w:themeColor="background1"/>
                                <w:spacing w:val="-4"/>
                              </w:rPr>
                              <w:t xml:space="preserve">PG </w:t>
                            </w:r>
                            <w:r w:rsidR="000916C7" w:rsidRPr="00095FDF">
                              <w:rPr>
                                <w:color w:val="FFFFFF" w:themeColor="background1"/>
                                <w:spacing w:val="-4"/>
                              </w:rPr>
                              <w:t>A</w:t>
                            </w:r>
                            <w:r w:rsidR="000916C7" w:rsidRPr="00095FDF">
                              <w:rPr>
                                <w:color w:val="FFFFFF" w:themeColor="background1"/>
                              </w:rPr>
                              <w:t>n I</w:t>
                            </w:r>
                            <w:r w:rsidR="000916C7" w:rsidRPr="00095FDF">
                              <w:rPr>
                                <w:color w:val="FFFFFF" w:themeColor="background1"/>
                                <w:spacing w:val="-2"/>
                              </w:rPr>
                              <w:t>n</w:t>
                            </w:r>
                            <w:r w:rsidR="000916C7" w:rsidRPr="00095FDF">
                              <w:rPr>
                                <w:color w:val="FFFFFF" w:themeColor="background1"/>
                              </w:rPr>
                              <w:t>cl</w:t>
                            </w:r>
                            <w:r w:rsidR="000916C7" w:rsidRPr="00095FDF">
                              <w:rPr>
                                <w:color w:val="FFFFFF" w:themeColor="background1"/>
                                <w:spacing w:val="-2"/>
                              </w:rPr>
                              <w:t>u</w:t>
                            </w:r>
                            <w:r w:rsidR="000916C7" w:rsidRPr="00095FDF">
                              <w:rPr>
                                <w:color w:val="FFFFFF" w:themeColor="background1"/>
                              </w:rPr>
                              <w:t>si</w:t>
                            </w:r>
                            <w:r w:rsidR="000916C7" w:rsidRPr="00095FDF">
                              <w:rPr>
                                <w:color w:val="FFFFFF" w:themeColor="background1"/>
                                <w:spacing w:val="-3"/>
                              </w:rPr>
                              <w:t>v</w:t>
                            </w:r>
                            <w:r w:rsidR="000916C7" w:rsidRPr="00095FDF">
                              <w:rPr>
                                <w:color w:val="FFFFFF" w:themeColor="background1"/>
                              </w:rPr>
                              <w:t>e</w:t>
                            </w:r>
                            <w:r w:rsidR="000916C7" w:rsidRPr="00095FDF">
                              <w:rPr>
                                <w:color w:val="FFFFFF" w:themeColor="background1"/>
                                <w:spacing w:val="1"/>
                              </w:rPr>
                              <w:t xml:space="preserve"> </w:t>
                            </w:r>
                            <w:r w:rsidR="000916C7" w:rsidRPr="00095FDF">
                              <w:rPr>
                                <w:color w:val="FFFFFF" w:themeColor="background1"/>
                              </w:rPr>
                              <w:t>E</w:t>
                            </w:r>
                            <w:r w:rsidR="000916C7" w:rsidRPr="00095FDF">
                              <w:rPr>
                                <w:color w:val="FFFFFF" w:themeColor="background1"/>
                                <w:spacing w:val="-2"/>
                              </w:rPr>
                              <w:t>n</w:t>
                            </w:r>
                            <w:r w:rsidR="000916C7" w:rsidRPr="00095FDF">
                              <w:rPr>
                                <w:color w:val="FFFFFF" w:themeColor="background1"/>
                                <w:spacing w:val="-3"/>
                              </w:rPr>
                              <w:t>v</w:t>
                            </w:r>
                            <w:r w:rsidR="000916C7" w:rsidRPr="00095FDF">
                              <w:rPr>
                                <w:color w:val="FFFFFF" w:themeColor="background1"/>
                              </w:rPr>
                              <w:t>ir</w:t>
                            </w:r>
                            <w:r w:rsidR="000916C7" w:rsidRPr="00095FDF">
                              <w:rPr>
                                <w:color w:val="FFFFFF" w:themeColor="background1"/>
                                <w:spacing w:val="-2"/>
                              </w:rPr>
                              <w:t>on</w:t>
                            </w:r>
                            <w:r w:rsidR="000916C7" w:rsidRPr="00095FDF">
                              <w:rPr>
                                <w:color w:val="FFFFFF" w:themeColor="background1"/>
                              </w:rPr>
                              <w:t>me</w:t>
                            </w:r>
                            <w:r w:rsidR="000916C7" w:rsidRPr="00095FDF">
                              <w:rPr>
                                <w:color w:val="FFFFFF" w:themeColor="background1"/>
                                <w:spacing w:val="-2"/>
                              </w:rPr>
                              <w:t>n</w:t>
                            </w:r>
                            <w:r w:rsidR="000916C7" w:rsidRPr="00095FDF">
                              <w:rPr>
                                <w:color w:val="FFFFFF" w:themeColor="background1"/>
                              </w:rPr>
                              <w:t>t</w:t>
                            </w:r>
                            <w:bookmarkEnd w:id="1"/>
                            <w:r w:rsidR="000916C7">
                              <w:rPr>
                                <w:color w:val="FFFFFF" w:themeColor="background1"/>
                              </w:rPr>
                              <w:t xml:space="preserve"> (Emotional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" fillcolor="#26a8df" stroked="f">
                <v:stroke joinstyle="miter"/>
                <v:textbox style="mso-fit-shape-to-text:t">
                  <w:txbxContent>
                    <w:p w14:paraId="5C2A0B0F" w14:textId="10392209" w:rsidR="00E119A5" w:rsidRPr="002B03BC" w:rsidRDefault="00B371FA" w:rsidP="000916C7">
                      <w:pPr>
                        <w:pStyle w:val="Heading1"/>
                        <w:rPr>
                          <w:color w:val="FFFFFF" w:themeColor="background1"/>
                        </w:rPr>
                      </w:pPr>
                      <w:bookmarkStart w:id="3" w:name="An_Inclusive_Environment"/>
                      <w:bookmarkStart w:id="4" w:name="_Toc40898366"/>
                      <w:bookmarkStart w:id="5" w:name="_Toc41638313"/>
                      <w:bookmarkEnd w:id="3"/>
                      <w:r>
                        <w:rPr>
                          <w:color w:val="FFFFFF" w:themeColor="background1"/>
                          <w:spacing w:val="-4"/>
                        </w:rPr>
                        <w:t xml:space="preserve">PG </w:t>
                      </w:r>
                      <w:r w:rsidR="000916C7" w:rsidRPr="00095FDF">
                        <w:rPr>
                          <w:color w:val="FFFFFF" w:themeColor="background1"/>
                          <w:spacing w:val="-4"/>
                        </w:rPr>
                        <w:t>A</w:t>
                      </w:r>
                      <w:r w:rsidR="000916C7" w:rsidRPr="00095FDF">
                        <w:rPr>
                          <w:color w:val="FFFFFF" w:themeColor="background1"/>
                        </w:rPr>
                        <w:t>n I</w:t>
                      </w:r>
                      <w:r w:rsidR="000916C7" w:rsidRPr="00095FDF">
                        <w:rPr>
                          <w:color w:val="FFFFFF" w:themeColor="background1"/>
                          <w:spacing w:val="-2"/>
                        </w:rPr>
                        <w:t>n</w:t>
                      </w:r>
                      <w:r w:rsidR="000916C7" w:rsidRPr="00095FDF">
                        <w:rPr>
                          <w:color w:val="FFFFFF" w:themeColor="background1"/>
                        </w:rPr>
                        <w:t>cl</w:t>
                      </w:r>
                      <w:r w:rsidR="000916C7" w:rsidRPr="00095FDF">
                        <w:rPr>
                          <w:color w:val="FFFFFF" w:themeColor="background1"/>
                          <w:spacing w:val="-2"/>
                        </w:rPr>
                        <w:t>u</w:t>
                      </w:r>
                      <w:r w:rsidR="000916C7" w:rsidRPr="00095FDF">
                        <w:rPr>
                          <w:color w:val="FFFFFF" w:themeColor="background1"/>
                        </w:rPr>
                        <w:t>si</w:t>
                      </w:r>
                      <w:r w:rsidR="000916C7" w:rsidRPr="00095FDF">
                        <w:rPr>
                          <w:color w:val="FFFFFF" w:themeColor="background1"/>
                          <w:spacing w:val="-3"/>
                        </w:rPr>
                        <w:t>v</w:t>
                      </w:r>
                      <w:r w:rsidR="000916C7" w:rsidRPr="00095FDF">
                        <w:rPr>
                          <w:color w:val="FFFFFF" w:themeColor="background1"/>
                        </w:rPr>
                        <w:t>e</w:t>
                      </w:r>
                      <w:r w:rsidR="000916C7" w:rsidRPr="00095FDF">
                        <w:rPr>
                          <w:color w:val="FFFFFF" w:themeColor="background1"/>
                          <w:spacing w:val="1"/>
                        </w:rPr>
                        <w:t xml:space="preserve"> </w:t>
                      </w:r>
                      <w:r w:rsidR="000916C7" w:rsidRPr="00095FDF">
                        <w:rPr>
                          <w:color w:val="FFFFFF" w:themeColor="background1"/>
                        </w:rPr>
                        <w:t>E</w:t>
                      </w:r>
                      <w:r w:rsidR="000916C7" w:rsidRPr="00095FDF">
                        <w:rPr>
                          <w:color w:val="FFFFFF" w:themeColor="background1"/>
                          <w:spacing w:val="-2"/>
                        </w:rPr>
                        <w:t>n</w:t>
                      </w:r>
                      <w:r w:rsidR="000916C7" w:rsidRPr="00095FDF">
                        <w:rPr>
                          <w:color w:val="FFFFFF" w:themeColor="background1"/>
                          <w:spacing w:val="-3"/>
                        </w:rPr>
                        <w:t>v</w:t>
                      </w:r>
                      <w:r w:rsidR="000916C7" w:rsidRPr="00095FDF">
                        <w:rPr>
                          <w:color w:val="FFFFFF" w:themeColor="background1"/>
                        </w:rPr>
                        <w:t>ir</w:t>
                      </w:r>
                      <w:r w:rsidR="000916C7" w:rsidRPr="00095FDF">
                        <w:rPr>
                          <w:color w:val="FFFFFF" w:themeColor="background1"/>
                          <w:spacing w:val="-2"/>
                        </w:rPr>
                        <w:t>on</w:t>
                      </w:r>
                      <w:r w:rsidR="000916C7" w:rsidRPr="00095FDF">
                        <w:rPr>
                          <w:color w:val="FFFFFF" w:themeColor="background1"/>
                        </w:rPr>
                        <w:t>me</w:t>
                      </w:r>
                      <w:r w:rsidR="000916C7" w:rsidRPr="00095FDF">
                        <w:rPr>
                          <w:color w:val="FFFFFF" w:themeColor="background1"/>
                          <w:spacing w:val="-2"/>
                        </w:rPr>
                        <w:t>n</w:t>
                      </w:r>
                      <w:r w:rsidR="000916C7" w:rsidRPr="00095FDF">
                        <w:rPr>
                          <w:color w:val="FFFFFF" w:themeColor="background1"/>
                        </w:rPr>
                        <w:t>t</w:t>
                      </w:r>
                      <w:bookmarkEnd w:id="4"/>
                      <w:r w:rsidR="000916C7">
                        <w:rPr>
                          <w:color w:val="FFFFFF" w:themeColor="background1"/>
                        </w:rPr>
                        <w:t xml:space="preserve"> (Emotional Engagement)</w:t>
                      </w:r>
                      <w:bookmarkEnd w:id="5"/>
                    </w:p>
                  </w:txbxContent>
                </v:textbox>
                <w10:wrap type="square" anchorx="margin"/>
              </v:roundrect>
            </w:pict>
          </mc:Fallback>
        </mc:AlternateContent>
      </w:r>
    </w:p>
    <w:p w14:paraId="66C8E36C" w14:textId="77777777" w:rsidR="00150236" w:rsidRPr="0006132E" w:rsidRDefault="00150236" w:rsidP="00150236">
      <w:pPr>
        <w:rPr>
          <w:b/>
          <w:bCs/>
        </w:rPr>
      </w:pPr>
      <w:r w:rsidRPr="0006132E">
        <w:rPr>
          <w:b/>
          <w:bCs/>
        </w:rPr>
        <w:t>An inclusive environment is one that is (</w:t>
      </w:r>
      <w:proofErr w:type="spellStart"/>
      <w:r w:rsidRPr="0006132E">
        <w:rPr>
          <w:b/>
          <w:bCs/>
        </w:rPr>
        <w:t>i</w:t>
      </w:r>
      <w:proofErr w:type="spellEnd"/>
      <w:r w:rsidRPr="0006132E">
        <w:rPr>
          <w:b/>
          <w:bCs/>
        </w:rPr>
        <w:t>) non-discriminatory, appropriate, and transparent to each student we recruit; (ii) respects and values the perspectives and experiences each individual can offer; (iii) promotes values and practices associated with inclusive attitudes and behaviours in others.</w:t>
      </w:r>
    </w:p>
    <w:p w14:paraId="43C98338" w14:textId="77777777" w:rsidR="00150236" w:rsidRDefault="00150236" w:rsidP="00150236">
      <w:pPr>
        <w:spacing w:before="16"/>
        <w:rPr>
          <w:rFonts w:cstheme="minorHAnsi"/>
          <w:szCs w:val="24"/>
        </w:rPr>
      </w:pPr>
    </w:p>
    <w:p w14:paraId="24BBE525" w14:textId="77777777" w:rsidR="00150236" w:rsidRPr="00AA26A1" w:rsidRDefault="00150236" w:rsidP="00150236">
      <w:pPr>
        <w:spacing w:before="16"/>
        <w:rPr>
          <w:rFonts w:cstheme="minorHAnsi"/>
          <w:b/>
          <w:bCs/>
          <w:szCs w:val="24"/>
        </w:rPr>
      </w:pPr>
      <w:r w:rsidRPr="00AA26A1">
        <w:rPr>
          <w:rFonts w:cstheme="minorHAnsi"/>
          <w:b/>
          <w:bCs/>
          <w:szCs w:val="24"/>
        </w:rPr>
        <w:t>Overview</w:t>
      </w:r>
    </w:p>
    <w:p w14:paraId="57528233" w14:textId="77777777" w:rsidR="00150236" w:rsidRPr="009931A3" w:rsidRDefault="00150236" w:rsidP="00150236">
      <w:r>
        <w:t>An inclusive environment involves tutors behaving in a non-discriminatory way and being respectful of others and it encourages students to do the same.</w:t>
      </w:r>
    </w:p>
    <w:p w14:paraId="1359BC7E" w14:textId="77777777" w:rsidR="00150236" w:rsidRPr="009931A3" w:rsidRDefault="00150236" w:rsidP="00150236"/>
    <w:p w14:paraId="74A0D8B4" w14:textId="77777777" w:rsidR="00150236" w:rsidRPr="009931A3" w:rsidRDefault="00150236" w:rsidP="00150236">
      <w:r w:rsidRPr="009931A3">
        <w:t xml:space="preserve">The legal obligations upon the University, and on individuals, (e.g. </w:t>
      </w:r>
      <w:hyperlink r:id="rId10" w:history="1">
        <w:r w:rsidRPr="00AA26A1">
          <w:rPr>
            <w:rStyle w:val="Hyperlink"/>
          </w:rPr>
          <w:t>The Equality Act, 2010</w:t>
        </w:r>
      </w:hyperlink>
      <w:r w:rsidRPr="009931A3">
        <w:t>) taken alone offer a very reductive understanding of an ‘inclusive’ environment. A truly inclusive environment presents a community in which everybody can choose to be visible</w:t>
      </w:r>
      <w:r>
        <w:t xml:space="preserve"> </w:t>
      </w:r>
      <w:r w:rsidRPr="009931A3">
        <w:t>and is valued and respected for their unique individuality. It encourages and enables students to be curious about others and engage in respectful discussion, debate, collaborative work and research, with other people and to explore their ways of viewing the world.</w:t>
      </w:r>
    </w:p>
    <w:p w14:paraId="59A674AA" w14:textId="77777777" w:rsidR="00150236" w:rsidRPr="009931A3" w:rsidRDefault="00150236" w:rsidP="00150236"/>
    <w:p w14:paraId="61D68096" w14:textId="77777777" w:rsidR="00150236" w:rsidRPr="009931A3" w:rsidRDefault="00150236" w:rsidP="00150236">
      <w:r w:rsidRPr="009931A3">
        <w:t>Inclusive teaching within an inclusive learning environment means recognising, accommodating and meeting the learning needs of all our students. Flexible approaches to learning can enhance this (</w:t>
      </w:r>
      <w:hyperlink r:id="rId11" w:history="1">
        <w:r w:rsidRPr="00AA26A1">
          <w:rPr>
            <w:rStyle w:val="Hyperlink"/>
          </w:rPr>
          <w:t>Devitt-Jones, 2017</w:t>
        </w:r>
      </w:hyperlink>
      <w:r w:rsidRPr="009931A3">
        <w:t>). Blended learning approaches, for example, have been shown to improve retention and engagement</w:t>
      </w:r>
      <w:r>
        <w:t xml:space="preserve"> </w:t>
      </w:r>
      <w:r w:rsidRPr="009931A3">
        <w:t>(</w:t>
      </w:r>
      <w:hyperlink r:id="rId12" w:history="1">
        <w:r w:rsidRPr="00AA26A1">
          <w:rPr>
            <w:rStyle w:val="Hyperlink"/>
          </w:rPr>
          <w:t>Holley &amp; Dobson, 2008</w:t>
        </w:r>
      </w:hyperlink>
      <w:r w:rsidRPr="009931A3">
        <w:t>)</w:t>
      </w:r>
      <w:r>
        <w:t>,</w:t>
      </w:r>
      <w:r w:rsidRPr="009931A3">
        <w:t xml:space="preserve"> but it is important to remember that vulnerable students can feel even more vulnerable in an online environment and it is important to build in opp</w:t>
      </w:r>
      <w:r>
        <w:t>ortunities</w:t>
      </w:r>
      <w:r w:rsidRPr="009931A3">
        <w:t xml:space="preserve"> for engagement, kindness</w:t>
      </w:r>
      <w:r>
        <w:t>,</w:t>
      </w:r>
      <w:r w:rsidRPr="009931A3">
        <w:t xml:space="preserve"> community building and </w:t>
      </w:r>
      <w:r>
        <w:t>a social presence</w:t>
      </w:r>
      <w:r w:rsidRPr="009931A3">
        <w:t xml:space="preserve"> into online learning environments (</w:t>
      </w:r>
      <w:hyperlink r:id="rId13" w:history="1">
        <w:r w:rsidRPr="00AA26A1">
          <w:rPr>
            <w:rStyle w:val="Hyperlink"/>
          </w:rPr>
          <w:t>Hockings, 2010</w:t>
        </w:r>
      </w:hyperlink>
      <w:r w:rsidRPr="009931A3">
        <w:t xml:space="preserve">). </w:t>
      </w:r>
    </w:p>
    <w:p w14:paraId="37022AEC" w14:textId="77777777" w:rsidR="008D50F4" w:rsidRDefault="008D50F4" w:rsidP="008D50F4">
      <w:pPr>
        <w:spacing w:before="14" w:line="260" w:lineRule="exact"/>
        <w:rPr>
          <w:sz w:val="26"/>
          <w:szCs w:val="26"/>
        </w:rPr>
      </w:pPr>
      <w:r>
        <w:rPr>
          <w:noProof/>
        </w:rPr>
        <w:drawing>
          <wp:anchor distT="0" distB="0" distL="114300" distR="114300" simplePos="0" relativeHeight="251663363" behindDoc="1" locked="0" layoutInCell="1" allowOverlap="1" wp14:anchorId="56AF0B5C" wp14:editId="1453A676">
            <wp:simplePos x="0" y="0"/>
            <wp:positionH relativeFrom="leftMargin">
              <wp:align>right</wp:align>
            </wp:positionH>
            <wp:positionV relativeFrom="paragraph">
              <wp:posOffset>2113915</wp:posOffset>
            </wp:positionV>
            <wp:extent cx="439200" cy="439200"/>
            <wp:effectExtent l="0" t="0" r="0" b="0"/>
            <wp:wrapNone/>
            <wp:docPr id="85" name="Graphic 85"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lightbulbandgear.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rPr>
        <w:drawing>
          <wp:anchor distT="0" distB="0" distL="114300" distR="114300" simplePos="0" relativeHeight="251660291" behindDoc="1" locked="1" layoutInCell="1" allowOverlap="1" wp14:anchorId="6825AEC4" wp14:editId="08AE945C">
            <wp:simplePos x="0" y="0"/>
            <wp:positionH relativeFrom="leftMargin">
              <wp:align>right</wp:align>
            </wp:positionH>
            <wp:positionV relativeFrom="paragraph">
              <wp:posOffset>182880</wp:posOffset>
            </wp:positionV>
            <wp:extent cx="439200" cy="439200"/>
            <wp:effectExtent l="0" t="0" r="0" b="0"/>
            <wp:wrapNone/>
            <wp:docPr id="20" name="Graphic 20"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dwithgears.svg"/>
                    <pic:cNvPicPr/>
                  </pic:nvPicPr>
                  <pic:blipFill>
                    <a:blip r:embed="rId16">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439200" cy="4392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shd w:val="clear" w:color="auto" w:fill="AFD3F0"/>
        <w:tblLayout w:type="fixed"/>
        <w:tblLook w:val="04A0" w:firstRow="1" w:lastRow="0" w:firstColumn="1" w:lastColumn="0" w:noHBand="0" w:noVBand="1"/>
      </w:tblPr>
      <w:tblGrid>
        <w:gridCol w:w="9407"/>
      </w:tblGrid>
      <w:tr w:rsidR="008D50F4" w14:paraId="6674AC0A" w14:textId="77777777" w:rsidTr="0035584B">
        <w:tc>
          <w:tcPr>
            <w:tcW w:w="9407" w:type="dxa"/>
            <w:tcBorders>
              <w:top w:val="nil"/>
              <w:left w:val="nil"/>
              <w:bottom w:val="nil"/>
              <w:right w:val="nil"/>
            </w:tcBorders>
            <w:shd w:val="clear" w:color="auto" w:fill="AFD3F0"/>
          </w:tcPr>
          <w:p w14:paraId="69357B12" w14:textId="77777777" w:rsidR="008D50F4" w:rsidRPr="00AA26A1" w:rsidRDefault="008D50F4" w:rsidP="0035584B">
            <w:pPr>
              <w:pStyle w:val="BodyText"/>
              <w:spacing w:before="120"/>
              <w:ind w:left="102"/>
              <w:rPr>
                <w:rFonts w:asciiTheme="minorHAnsi" w:hAnsiTheme="minorHAnsi" w:cstheme="minorHAnsi"/>
                <w:b/>
                <w:bCs/>
              </w:rPr>
            </w:pPr>
            <w:r w:rsidRPr="00AA26A1">
              <w:rPr>
                <w:rFonts w:asciiTheme="minorHAnsi" w:hAnsiTheme="minorHAnsi" w:cstheme="minorHAnsi"/>
                <w:b/>
                <w:bCs/>
              </w:rPr>
              <w:t>Co</w:t>
            </w:r>
            <w:r w:rsidRPr="00AA26A1">
              <w:rPr>
                <w:rFonts w:asciiTheme="minorHAnsi" w:hAnsiTheme="minorHAnsi" w:cstheme="minorHAnsi"/>
                <w:b/>
                <w:bCs/>
                <w:spacing w:val="1"/>
              </w:rPr>
              <w:t>u</w:t>
            </w:r>
            <w:r w:rsidRPr="00AA26A1">
              <w:rPr>
                <w:rFonts w:asciiTheme="minorHAnsi" w:hAnsiTheme="minorHAnsi" w:cstheme="minorHAnsi"/>
                <w:b/>
                <w:bCs/>
              </w:rPr>
              <w:t>rse t</w:t>
            </w:r>
            <w:r w:rsidRPr="00AA26A1">
              <w:rPr>
                <w:rFonts w:asciiTheme="minorHAnsi" w:hAnsiTheme="minorHAnsi" w:cstheme="minorHAnsi"/>
                <w:b/>
                <w:bCs/>
                <w:spacing w:val="-1"/>
              </w:rPr>
              <w:t>e</w:t>
            </w:r>
            <w:r w:rsidRPr="00AA26A1">
              <w:rPr>
                <w:rFonts w:asciiTheme="minorHAnsi" w:hAnsiTheme="minorHAnsi" w:cstheme="minorHAnsi"/>
                <w:b/>
                <w:bCs/>
              </w:rPr>
              <w:t>a</w:t>
            </w:r>
            <w:r w:rsidRPr="00AA26A1">
              <w:rPr>
                <w:rFonts w:asciiTheme="minorHAnsi" w:hAnsiTheme="minorHAnsi" w:cstheme="minorHAnsi"/>
                <w:b/>
                <w:bCs/>
                <w:spacing w:val="1"/>
              </w:rPr>
              <w:t>m</w:t>
            </w:r>
            <w:r w:rsidRPr="00AA26A1">
              <w:rPr>
                <w:rFonts w:asciiTheme="minorHAnsi" w:hAnsiTheme="minorHAnsi" w:cstheme="minorHAnsi"/>
                <w:b/>
                <w:bCs/>
              </w:rPr>
              <w:t>s</w:t>
            </w:r>
            <w:r w:rsidRPr="00AA26A1">
              <w:rPr>
                <w:rFonts w:asciiTheme="minorHAnsi" w:hAnsiTheme="minorHAnsi" w:cstheme="minorHAnsi"/>
                <w:b/>
                <w:bCs/>
                <w:spacing w:val="-3"/>
              </w:rPr>
              <w:t xml:space="preserve"> </w:t>
            </w:r>
            <w:r w:rsidRPr="00AA26A1">
              <w:rPr>
                <w:rFonts w:asciiTheme="minorHAnsi" w:hAnsiTheme="minorHAnsi" w:cstheme="minorHAnsi"/>
                <w:b/>
                <w:bCs/>
              </w:rPr>
              <w:t>c</w:t>
            </w:r>
            <w:r w:rsidRPr="00AA26A1">
              <w:rPr>
                <w:rFonts w:asciiTheme="minorHAnsi" w:hAnsiTheme="minorHAnsi" w:cstheme="minorHAnsi"/>
                <w:b/>
                <w:bCs/>
                <w:spacing w:val="1"/>
              </w:rPr>
              <w:t>o</w:t>
            </w:r>
            <w:r w:rsidRPr="00AA26A1">
              <w:rPr>
                <w:rFonts w:asciiTheme="minorHAnsi" w:hAnsiTheme="minorHAnsi" w:cstheme="minorHAnsi"/>
                <w:b/>
                <w:bCs/>
              </w:rPr>
              <w:t>u</w:t>
            </w:r>
            <w:r w:rsidRPr="00AA26A1">
              <w:rPr>
                <w:rFonts w:asciiTheme="minorHAnsi" w:hAnsiTheme="minorHAnsi" w:cstheme="minorHAnsi"/>
                <w:b/>
                <w:bCs/>
                <w:spacing w:val="-3"/>
              </w:rPr>
              <w:t>l</w:t>
            </w:r>
            <w:r w:rsidRPr="00AA26A1">
              <w:rPr>
                <w:rFonts w:asciiTheme="minorHAnsi" w:hAnsiTheme="minorHAnsi" w:cstheme="minorHAnsi"/>
                <w:b/>
                <w:bCs/>
              </w:rPr>
              <w:t xml:space="preserve">d </w:t>
            </w:r>
            <w:r w:rsidRPr="00AA26A1">
              <w:rPr>
                <w:rFonts w:asciiTheme="minorHAnsi" w:hAnsiTheme="minorHAnsi" w:cstheme="minorHAnsi"/>
                <w:b/>
                <w:bCs/>
                <w:spacing w:val="1"/>
              </w:rPr>
              <w:t>a</w:t>
            </w:r>
            <w:r w:rsidRPr="00AA26A1">
              <w:rPr>
                <w:rFonts w:asciiTheme="minorHAnsi" w:hAnsiTheme="minorHAnsi" w:cstheme="minorHAnsi"/>
                <w:b/>
                <w:bCs/>
                <w:spacing w:val="-3"/>
              </w:rPr>
              <w:t>s</w:t>
            </w:r>
            <w:r w:rsidRPr="00AA26A1">
              <w:rPr>
                <w:rFonts w:asciiTheme="minorHAnsi" w:hAnsiTheme="minorHAnsi" w:cstheme="minorHAnsi"/>
                <w:b/>
                <w:bCs/>
              </w:rPr>
              <w:t>k:</w:t>
            </w:r>
          </w:p>
          <w:p w14:paraId="43BF4B7D" w14:textId="77777777" w:rsidR="008D50F4" w:rsidRDefault="008D50F4" w:rsidP="0035584B">
            <w:pPr>
              <w:spacing w:before="18" w:line="260" w:lineRule="exact"/>
              <w:rPr>
                <w:sz w:val="26"/>
                <w:szCs w:val="26"/>
              </w:rPr>
            </w:pPr>
          </w:p>
          <w:p w14:paraId="0EE4A029" w14:textId="77777777" w:rsidR="00BF2A10" w:rsidRDefault="00BF2A10" w:rsidP="00BF2A10">
            <w:pPr>
              <w:pStyle w:val="Bulleted"/>
              <w:keepLines/>
              <w:ind w:left="641"/>
            </w:pPr>
            <w:r>
              <w:t xml:space="preserve">Do we ensure that all </w:t>
            </w:r>
            <w:r w:rsidRPr="3256FF51">
              <w:rPr>
                <w:b/>
                <w:bCs/>
              </w:rPr>
              <w:t>students feel welcomed</w:t>
            </w:r>
            <w:r>
              <w:t xml:space="preserve"> into the course and do we work, as part of induction, to ensure that </w:t>
            </w:r>
            <w:r w:rsidRPr="3256FF51">
              <w:rPr>
                <w:b/>
                <w:bCs/>
              </w:rPr>
              <w:t>all</w:t>
            </w:r>
            <w:r>
              <w:t xml:space="preserve"> students are welcoming towards ‘others’ on the course? How will you foster course identity and sense of belonging if delivery is </w:t>
            </w:r>
            <w:r w:rsidRPr="099EA3BA">
              <w:rPr>
                <w:b/>
                <w:bCs/>
              </w:rPr>
              <w:t>not</w:t>
            </w:r>
            <w:r>
              <w:t xml:space="preserve"> on campus?</w:t>
            </w:r>
          </w:p>
          <w:p w14:paraId="73E0FE36" w14:textId="77777777" w:rsidR="00BF2A10" w:rsidRDefault="00BF2A10" w:rsidP="00BF2A10">
            <w:pPr>
              <w:pStyle w:val="Bulleted"/>
              <w:keepLines/>
              <w:numPr>
                <w:ilvl w:val="0"/>
                <w:numId w:val="0"/>
              </w:numPr>
              <w:spacing w:before="360"/>
              <w:ind w:left="641"/>
              <w:rPr>
                <w:rStyle w:val="Hyperlink"/>
              </w:rPr>
            </w:pPr>
            <w:r w:rsidRPr="099EA3BA">
              <w:t xml:space="preserve">There are digital tools that can help support online induction. A course level </w:t>
            </w:r>
            <w:hyperlink r:id="rId18">
              <w:r w:rsidRPr="099EA3BA">
                <w:rPr>
                  <w:rStyle w:val="Hyperlink"/>
                </w:rPr>
                <w:t>MyBeckett</w:t>
              </w:r>
            </w:hyperlink>
            <w:r w:rsidRPr="099EA3BA">
              <w:t xml:space="preserve"> group for activities can be useful, or </w:t>
            </w:r>
            <w:hyperlink r:id="rId19">
              <w:r w:rsidRPr="099EA3BA">
                <w:rPr>
                  <w:rStyle w:val="Hyperlink"/>
                </w:rPr>
                <w:t>MS Teams</w:t>
              </w:r>
            </w:hyperlink>
            <w:r w:rsidRPr="099EA3BA">
              <w:t xml:space="preserve"> where chat and sharing can take place, or by using social media channels to interact with students. Be consistent and simple with your use of tools to avoid overwhelming students. The </w:t>
            </w:r>
            <w:hyperlink r:id="rId20">
              <w:r w:rsidRPr="099EA3BA">
                <w:rPr>
                  <w:rStyle w:val="Hyperlink"/>
                </w:rPr>
                <w:t>preferred tool is MS Teams</w:t>
              </w:r>
            </w:hyperlink>
            <w:r w:rsidRPr="099EA3BA">
              <w:t>.</w:t>
            </w:r>
          </w:p>
          <w:p w14:paraId="19855C19" w14:textId="77777777" w:rsidR="00BF2A10" w:rsidRPr="00133FCB" w:rsidRDefault="00BF2A10" w:rsidP="00BF2A10">
            <w:pPr>
              <w:pStyle w:val="Bulleted"/>
              <w:keepLines/>
              <w:spacing w:before="360"/>
              <w:ind w:left="641"/>
              <w:rPr>
                <w:rFonts w:cstheme="minorHAnsi"/>
              </w:rPr>
            </w:pPr>
            <w:r w:rsidRPr="00133FCB">
              <w:rPr>
                <w:rFonts w:cstheme="minorHAnsi"/>
              </w:rPr>
              <w:lastRenderedPageBreak/>
              <w:t xml:space="preserve">How do course materials and activities represent a range of </w:t>
            </w:r>
            <w:r w:rsidRPr="009F26EF">
              <w:rPr>
                <w:rFonts w:cstheme="minorHAnsi"/>
                <w:b/>
                <w:bCs/>
              </w:rPr>
              <w:t>cultural, global and social perspectives and/or practices</w:t>
            </w:r>
            <w:r w:rsidRPr="00133FCB">
              <w:rPr>
                <w:rFonts w:cstheme="minorHAnsi"/>
              </w:rPr>
              <w:t xml:space="preserve">, and allow all students to draw on prior experience and learning? </w:t>
            </w:r>
          </w:p>
          <w:p w14:paraId="2C2AF5F0" w14:textId="77777777" w:rsidR="00BF2A10" w:rsidRPr="002A7EBC" w:rsidRDefault="00BF2A10" w:rsidP="00BF2A10">
            <w:pPr>
              <w:pStyle w:val="Bulleted"/>
              <w:keepLines/>
              <w:ind w:left="641"/>
              <w:rPr>
                <w:rFonts w:eastAsia="Times New Roman"/>
                <w:sz w:val="22"/>
                <w:szCs w:val="22"/>
              </w:rPr>
            </w:pPr>
            <w:r w:rsidRPr="2ED6D96D">
              <w:rPr>
                <w:rFonts w:eastAsia="Times New Roman"/>
                <w:color w:val="000000" w:themeColor="text1"/>
              </w:rPr>
              <w:t xml:space="preserve">Are you considering how to make remote/online learning as accessible and inclusive as possible, and what </w:t>
            </w:r>
            <w:r w:rsidRPr="00C44520">
              <w:rPr>
                <w:rFonts w:eastAsia="Times New Roman"/>
                <w:b/>
                <w:bCs/>
                <w:color w:val="000000" w:themeColor="text1"/>
              </w:rPr>
              <w:t>reasonable adjustments</w:t>
            </w:r>
            <w:r w:rsidRPr="2ED6D96D">
              <w:rPr>
                <w:rFonts w:eastAsia="Times New Roman"/>
                <w:color w:val="000000" w:themeColor="text1"/>
              </w:rPr>
              <w:t xml:space="preserve"> there might be where it is not fully accessible?</w:t>
            </w:r>
            <w:r>
              <w:br/>
            </w:r>
            <w:r>
              <w:br/>
            </w:r>
            <w:r w:rsidRPr="2ED6D96D">
              <w:rPr>
                <w:rFonts w:eastAsia="Times New Roman"/>
                <w:color w:val="000000" w:themeColor="text1"/>
              </w:rPr>
              <w:t>Are you, as a course team, familiar with “</w:t>
            </w:r>
            <w:r w:rsidRPr="00C44520">
              <w:rPr>
                <w:rFonts w:eastAsia="Times New Roman"/>
                <w:color w:val="000000" w:themeColor="text1"/>
              </w:rPr>
              <w:t>reasonable adjustment</w:t>
            </w:r>
            <w:r w:rsidRPr="2ED6D96D">
              <w:rPr>
                <w:rFonts w:eastAsia="Times New Roman"/>
                <w:color w:val="000000" w:themeColor="text1"/>
              </w:rPr>
              <w:t xml:space="preserve">” for field trips, session planning, delivery and assessment? Are all your students able to access a range of opportunities? Can the activities be embedded within the daily standard timetable? Is there alternative provision? Support and advice is available from the </w:t>
            </w:r>
            <w:hyperlink r:id="rId21">
              <w:r w:rsidRPr="2ED6D96D">
                <w:rPr>
                  <w:rStyle w:val="Hyperlink"/>
                  <w:rFonts w:eastAsia="Times New Roman"/>
                </w:rPr>
                <w:t>Disability Advice Service</w:t>
              </w:r>
            </w:hyperlink>
            <w:r w:rsidRPr="2ED6D96D">
              <w:rPr>
                <w:rFonts w:eastAsia="Times New Roman"/>
                <w:color w:val="000000" w:themeColor="text1"/>
              </w:rPr>
              <w:t>.</w:t>
            </w:r>
          </w:p>
          <w:p w14:paraId="0729BD46" w14:textId="77777777" w:rsidR="00BF2A10" w:rsidRPr="00133FCB" w:rsidRDefault="00BF2A10" w:rsidP="00BF2A10">
            <w:pPr>
              <w:pStyle w:val="Bulleted"/>
              <w:keepLines/>
              <w:ind w:left="641"/>
              <w:rPr>
                <w:rFonts w:cstheme="minorHAnsi"/>
              </w:rPr>
            </w:pPr>
            <w:r w:rsidRPr="00133FCB">
              <w:rPr>
                <w:rFonts w:cstheme="minorHAnsi"/>
              </w:rPr>
              <w:t xml:space="preserve">Do we include pedagogies that contribute to </w:t>
            </w:r>
            <w:r w:rsidRPr="009F26EF">
              <w:rPr>
                <w:rFonts w:cstheme="minorHAnsi"/>
                <w:b/>
                <w:bCs/>
              </w:rPr>
              <w:t>learner empowerment</w:t>
            </w:r>
            <w:r w:rsidRPr="00133FCB">
              <w:rPr>
                <w:rFonts w:cstheme="minorHAnsi"/>
              </w:rPr>
              <w:t xml:space="preserve"> such as co</w:t>
            </w:r>
            <w:r>
              <w:rPr>
                <w:rFonts w:cstheme="minorHAnsi"/>
              </w:rPr>
              <w:t>-</w:t>
            </w:r>
            <w:r w:rsidRPr="00133FCB">
              <w:rPr>
                <w:rFonts w:cstheme="minorHAnsi"/>
              </w:rPr>
              <w:t>creation, student choice within assessment and the decolonising of the dominant western-focused discourses</w:t>
            </w:r>
            <w:r>
              <w:rPr>
                <w:rFonts w:cstheme="minorHAnsi"/>
              </w:rPr>
              <w:t xml:space="preserve"> (</w:t>
            </w:r>
            <w:hyperlink r:id="rId22" w:history="1">
              <w:r w:rsidRPr="009F26EF">
                <w:rPr>
                  <w:rStyle w:val="Hyperlink"/>
                  <w:rFonts w:cstheme="minorHAnsi"/>
                </w:rPr>
                <w:t>Ryan and Tilbury, 2013</w:t>
              </w:r>
            </w:hyperlink>
            <w:r w:rsidRPr="00133FCB">
              <w:rPr>
                <w:rFonts w:cstheme="minorHAnsi"/>
              </w:rPr>
              <w:t>)</w:t>
            </w:r>
            <w:r>
              <w:t>?</w:t>
            </w:r>
          </w:p>
          <w:p w14:paraId="674EEC09" w14:textId="77777777" w:rsidR="00BF2A10" w:rsidRDefault="00BF2A10" w:rsidP="00BF2A10">
            <w:pPr>
              <w:pStyle w:val="Bulleted"/>
              <w:keepLines/>
              <w:ind w:left="641"/>
            </w:pPr>
            <w:r w:rsidRPr="2302B792">
              <w:t xml:space="preserve">There is </w:t>
            </w:r>
            <w:r w:rsidRPr="001A0A9F">
              <w:rPr>
                <w:rFonts w:cstheme="minorHAnsi"/>
              </w:rPr>
              <w:t>some</w:t>
            </w:r>
            <w:r w:rsidRPr="2302B792">
              <w:t xml:space="preserve"> evidence (</w:t>
            </w:r>
            <w:hyperlink r:id="rId23" w:history="1">
              <w:r w:rsidRPr="009F26EF">
                <w:rPr>
                  <w:rStyle w:val="Hyperlink"/>
                </w:rPr>
                <w:t>Yan Yang et al, 2015</w:t>
              </w:r>
            </w:hyperlink>
            <w:r w:rsidRPr="2302B792">
              <w:t xml:space="preserve">) that </w:t>
            </w:r>
            <w:r w:rsidRPr="009F26EF">
              <w:rPr>
                <w:b/>
                <w:bCs/>
              </w:rPr>
              <w:t>different genders</w:t>
            </w:r>
            <w:r w:rsidRPr="2302B792">
              <w:t xml:space="preserve"> perceive and experience the physical and online learning environment differently</w:t>
            </w:r>
            <w:r>
              <w:t>. Think about how you design your courses to appeal to all genders.</w:t>
            </w:r>
          </w:p>
          <w:p w14:paraId="59C20BA8" w14:textId="77777777" w:rsidR="00BF2A10" w:rsidRPr="00133FCB" w:rsidRDefault="00BF2A10" w:rsidP="00BF2A10">
            <w:pPr>
              <w:pStyle w:val="Bulleted"/>
              <w:ind w:left="641"/>
            </w:pPr>
            <w:r>
              <w:rPr>
                <w:b/>
                <w:bCs/>
                <w:noProof/>
              </w:rPr>
              <w:drawing>
                <wp:anchor distT="0" distB="0" distL="114300" distR="114300" simplePos="0" relativeHeight="251667459" behindDoc="1" locked="1" layoutInCell="1" allowOverlap="1" wp14:anchorId="39781CD4" wp14:editId="4FF6CA68">
                  <wp:simplePos x="0" y="0"/>
                  <wp:positionH relativeFrom="column">
                    <wp:posOffset>-501015</wp:posOffset>
                  </wp:positionH>
                  <wp:positionV relativeFrom="paragraph">
                    <wp:posOffset>-34290</wp:posOffset>
                  </wp:positionV>
                  <wp:extent cx="438785" cy="438785"/>
                  <wp:effectExtent l="0" t="0" r="0" b="0"/>
                  <wp:wrapNone/>
                  <wp:docPr id="86" name="Graphic 86"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lightbulbandgear.svg"/>
                          <pic:cNvPicPr/>
                        </pic:nvPicPr>
                        <pic:blipFill>
                          <a:blip r:embed="rId2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99EA3BA">
              <w:t xml:space="preserve">How do you organise your large and small group activities to </w:t>
            </w:r>
            <w:r w:rsidRPr="099EA3BA">
              <w:rPr>
                <w:b/>
                <w:bCs/>
              </w:rPr>
              <w:t>enhance social mixing and learning</w:t>
            </w:r>
            <w:r w:rsidRPr="099EA3BA">
              <w:t xml:space="preserve"> and expose them/students to culturally challenging views, opinions and contexts? Can you develop online action learning sets? If you are using digital tools to help you, you could use </w:t>
            </w:r>
            <w:hyperlink r:id="rId25">
              <w:r w:rsidRPr="099EA3BA">
                <w:rPr>
                  <w:rStyle w:val="Hyperlink"/>
                </w:rPr>
                <w:t>MyBeckett sub-groups</w:t>
              </w:r>
            </w:hyperlink>
            <w:r w:rsidRPr="099EA3BA">
              <w:t xml:space="preserve"> or </w:t>
            </w:r>
            <w:hyperlink r:id="rId26">
              <w:r w:rsidRPr="099EA3BA">
                <w:rPr>
                  <w:rStyle w:val="Hyperlink"/>
                </w:rPr>
                <w:t>MS Teams</w:t>
              </w:r>
            </w:hyperlink>
            <w:r>
              <w:t>.</w:t>
            </w:r>
          </w:p>
          <w:p w14:paraId="04460593" w14:textId="77777777" w:rsidR="00BF2A10" w:rsidRPr="00133FCB" w:rsidRDefault="00BF2A10" w:rsidP="00BF2A10">
            <w:pPr>
              <w:pStyle w:val="Bulleted"/>
              <w:ind w:left="641"/>
              <w:rPr>
                <w:rFonts w:cstheme="minorHAnsi"/>
              </w:rPr>
            </w:pPr>
            <w:r w:rsidRPr="00133FCB">
              <w:rPr>
                <w:rFonts w:cstheme="minorHAnsi"/>
              </w:rPr>
              <w:t xml:space="preserve">When students are asked to work alone or in groups outside the classroom are the tasks clear and the students </w:t>
            </w:r>
            <w:r w:rsidRPr="00202DD9">
              <w:rPr>
                <w:rFonts w:cstheme="minorHAnsi"/>
                <w:b/>
                <w:bCs/>
              </w:rPr>
              <w:t>made aware exactly what is required of them</w:t>
            </w:r>
            <w:r w:rsidRPr="00133FCB">
              <w:rPr>
                <w:rFonts w:cstheme="minorHAnsi"/>
              </w:rPr>
              <w:t>? How do you ensure this works?</w:t>
            </w:r>
          </w:p>
          <w:p w14:paraId="0D508E34" w14:textId="77777777" w:rsidR="00BF2A10" w:rsidRDefault="00BF2A10" w:rsidP="00BF2A10">
            <w:pPr>
              <w:pStyle w:val="Bulleted"/>
              <w:ind w:left="641"/>
            </w:pPr>
            <w:r>
              <w:rPr>
                <w:noProof/>
              </w:rPr>
              <w:drawing>
                <wp:anchor distT="0" distB="0" distL="114300" distR="114300" simplePos="0" relativeHeight="251668483" behindDoc="1" locked="0" layoutInCell="1" allowOverlap="1" wp14:anchorId="49BFC602" wp14:editId="5D1C067A">
                  <wp:simplePos x="0" y="0"/>
                  <wp:positionH relativeFrom="column">
                    <wp:posOffset>-501015</wp:posOffset>
                  </wp:positionH>
                  <wp:positionV relativeFrom="paragraph">
                    <wp:posOffset>1487170</wp:posOffset>
                  </wp:positionV>
                  <wp:extent cx="439200" cy="439200"/>
                  <wp:effectExtent l="0" t="0" r="0" b="0"/>
                  <wp:wrapNone/>
                  <wp:docPr id="87" name="Graphic 87"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lightbulbandgear.svg"/>
                          <pic:cNvPicPr/>
                        </pic:nvPicPr>
                        <pic:blipFill>
                          <a:blip r:embed="rId2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sidRPr="099EA3BA">
              <w:t xml:space="preserve">How do you manage interaction, paired activity, </w:t>
            </w:r>
            <w:r w:rsidRPr="099EA3BA">
              <w:rPr>
                <w:b/>
                <w:bCs/>
              </w:rPr>
              <w:t>discussion and student participation</w:t>
            </w:r>
            <w:r w:rsidRPr="099EA3BA">
              <w:t xml:space="preserve"> both online and physically to optimise engagement and inclusion? </w:t>
            </w:r>
            <w:r>
              <w:br/>
            </w:r>
            <w:r>
              <w:br/>
              <w:t xml:space="preserve">If online only, how to you adapt your delivery models? Can you restructure large and small group work over different weeks to optimise contact hours and engagement and make sure those not engaging synchronously are supported? </w:t>
            </w:r>
            <w:r>
              <w:br/>
            </w:r>
            <w:r>
              <w:br/>
            </w:r>
            <w:hyperlink r:id="rId27">
              <w:r w:rsidRPr="099EA3BA">
                <w:rPr>
                  <w:rStyle w:val="Hyperlink"/>
                </w:rPr>
                <w:t>Discussion boards</w:t>
              </w:r>
            </w:hyperlink>
            <w:r w:rsidRPr="099EA3BA">
              <w:t xml:space="preserve"> can be used for students to post questions or respond to a discussion point. Channels within an </w:t>
            </w:r>
            <w:hyperlink r:id="rId28">
              <w:r w:rsidRPr="099EA3BA">
                <w:rPr>
                  <w:rStyle w:val="Hyperlink"/>
                </w:rPr>
                <w:t>MS Teams</w:t>
              </w:r>
            </w:hyperlink>
            <w:r w:rsidRPr="099EA3BA">
              <w:t xml:space="preserve"> can be used in the same way.</w:t>
            </w:r>
          </w:p>
          <w:p w14:paraId="666C2466" w14:textId="77777777" w:rsidR="00BF2A10" w:rsidRPr="00410736" w:rsidRDefault="00BF2A10" w:rsidP="00BF2A10">
            <w:pPr>
              <w:pStyle w:val="Bulleted"/>
              <w:numPr>
                <w:ilvl w:val="0"/>
                <w:numId w:val="0"/>
              </w:numPr>
              <w:ind w:left="284"/>
            </w:pPr>
          </w:p>
          <w:p w14:paraId="5DBD5025" w14:textId="77777777" w:rsidR="00BF2A10" w:rsidRPr="00CE0C2D" w:rsidRDefault="00BF2A10" w:rsidP="00BF2A10">
            <w:pPr>
              <w:pStyle w:val="Bulleted"/>
              <w:keepLines/>
              <w:ind w:left="641"/>
              <w:rPr>
                <w:rFonts w:eastAsia="Times New Roman"/>
                <w:sz w:val="22"/>
                <w:szCs w:val="22"/>
              </w:rPr>
            </w:pPr>
            <w:r>
              <w:rPr>
                <w:rFonts w:eastAsia="Times New Roman"/>
                <w:color w:val="000000" w:themeColor="text1"/>
              </w:rPr>
              <w:lastRenderedPageBreak/>
              <w:t xml:space="preserve">Students want to connect with a learning experience that resonates with their stories and histories and they want to feel they belong at Leeds Beckett University. The curriculum is an important artefact in their achievement of this sense of ‘belonging’. </w:t>
            </w:r>
            <w:r>
              <w:rPr>
                <w:rFonts w:eastAsia="Times New Roman"/>
                <w:sz w:val="22"/>
                <w:szCs w:val="22"/>
              </w:rPr>
              <w:br/>
            </w:r>
            <w:r w:rsidRPr="00CE0C2D">
              <w:rPr>
                <w:rFonts w:eastAsia="Times New Roman"/>
                <w:color w:val="000000" w:themeColor="text1"/>
              </w:rPr>
              <w:t>“</w:t>
            </w:r>
            <w:r w:rsidRPr="00CE0C2D">
              <w:rPr>
                <w:rFonts w:eastAsia="Times New Roman"/>
                <w:b/>
                <w:bCs/>
                <w:color w:val="000000" w:themeColor="text1"/>
              </w:rPr>
              <w:t>Decolonising</w:t>
            </w:r>
            <w:r w:rsidRPr="00CE0C2D">
              <w:rPr>
                <w:rFonts w:eastAsia="Times New Roman"/>
                <w:color w:val="000000" w:themeColor="text1"/>
              </w:rPr>
              <w:t>” is about us rethinking, reframing and reconstructing current curricula in order to make them better and more inclusive.</w:t>
            </w:r>
            <w:r w:rsidRPr="00CE0C2D">
              <w:rPr>
                <w:rFonts w:eastAsia="Times New Roman"/>
                <w:sz w:val="22"/>
                <w:szCs w:val="22"/>
              </w:rPr>
              <w:t xml:space="preserve"> </w:t>
            </w:r>
            <w:r w:rsidRPr="00CE0C2D">
              <w:rPr>
                <w:rFonts w:cstheme="minorHAnsi"/>
              </w:rPr>
              <w:t xml:space="preserve">Do your </w:t>
            </w:r>
            <w:hyperlink r:id="rId29" w:history="1">
              <w:r w:rsidRPr="00CE0C2D">
                <w:rPr>
                  <w:rStyle w:val="Hyperlink"/>
                  <w:rFonts w:cstheme="minorHAnsi"/>
                </w:rPr>
                <w:t>reading lists</w:t>
              </w:r>
            </w:hyperlink>
            <w:r w:rsidRPr="00CE0C2D">
              <w:rPr>
                <w:rFonts w:cstheme="minorHAnsi"/>
              </w:rPr>
              <w:t xml:space="preserve"> and resources reflect a diverse cultural range of authors which reflect a range of perspectives about issues discussed as part of the module content? This will help students feel that they are important, </w:t>
            </w:r>
            <w:r w:rsidRPr="00CE0C2D">
              <w:rPr>
                <w:rFonts w:cstheme="minorHAnsi"/>
                <w:b/>
                <w:bCs/>
              </w:rPr>
              <w:t>belong to the learning community</w:t>
            </w:r>
            <w:r w:rsidRPr="00CE0C2D">
              <w:rPr>
                <w:rFonts w:cstheme="minorHAnsi"/>
              </w:rPr>
              <w:t xml:space="preserve"> and have a contribution to make?</w:t>
            </w:r>
          </w:p>
          <w:p w14:paraId="3C38B496" w14:textId="42B87548" w:rsidR="008D50F4" w:rsidRDefault="00BF2A10" w:rsidP="00BF2A10">
            <w:pPr>
              <w:pStyle w:val="Bulleted"/>
              <w:keepLines/>
              <w:spacing w:before="120"/>
              <w:ind w:left="641"/>
              <w:rPr>
                <w:sz w:val="26"/>
                <w:szCs w:val="26"/>
              </w:rPr>
            </w:pPr>
            <w:r w:rsidRPr="00133FCB">
              <w:rPr>
                <w:rFonts w:cstheme="minorHAnsi"/>
              </w:rPr>
              <w:t xml:space="preserve">Do </w:t>
            </w:r>
            <w:r>
              <w:rPr>
                <w:rFonts w:cstheme="minorHAnsi"/>
              </w:rPr>
              <w:t xml:space="preserve">your postgraduate </w:t>
            </w:r>
            <w:r w:rsidRPr="00133FCB">
              <w:rPr>
                <w:rFonts w:cstheme="minorHAnsi"/>
              </w:rPr>
              <w:t xml:space="preserve">students have access to staff and external experts from a </w:t>
            </w:r>
            <w:r w:rsidRPr="00202DD9">
              <w:rPr>
                <w:rFonts w:cstheme="minorHAnsi"/>
                <w:b/>
                <w:bCs/>
              </w:rPr>
              <w:t>range of communities and cultures</w:t>
            </w:r>
            <w:r w:rsidRPr="00133FCB">
              <w:rPr>
                <w:rFonts w:cstheme="minorHAnsi"/>
              </w:rPr>
              <w:t>?</w:t>
            </w:r>
            <w:r>
              <w:rPr>
                <w:sz w:val="26"/>
                <w:szCs w:val="26"/>
              </w:rPr>
              <w:br/>
            </w:r>
          </w:p>
        </w:tc>
      </w:tr>
    </w:tbl>
    <w:p w14:paraId="24F8FBC3" w14:textId="77777777" w:rsidR="008D50F4" w:rsidRDefault="008D50F4" w:rsidP="008D50F4">
      <w:pPr>
        <w:spacing w:before="14" w:line="260" w:lineRule="exact"/>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3F0"/>
        <w:tblLayout w:type="fixed"/>
        <w:tblLook w:val="04A0" w:firstRow="1" w:lastRow="0" w:firstColumn="1" w:lastColumn="0" w:noHBand="0" w:noVBand="1"/>
      </w:tblPr>
      <w:tblGrid>
        <w:gridCol w:w="9407"/>
      </w:tblGrid>
      <w:tr w:rsidR="008D50F4" w14:paraId="6C0C2B0A" w14:textId="77777777" w:rsidTr="0035584B">
        <w:tc>
          <w:tcPr>
            <w:tcW w:w="9407" w:type="dxa"/>
            <w:shd w:val="clear" w:color="auto" w:fill="AFD3F0"/>
          </w:tcPr>
          <w:p w14:paraId="375727F5" w14:textId="77777777" w:rsidR="003C14FA" w:rsidRPr="00133FCB" w:rsidRDefault="003C14FA" w:rsidP="003C14FA">
            <w:pPr>
              <w:pStyle w:val="BodyText"/>
              <w:keepLines/>
              <w:spacing w:before="360"/>
              <w:ind w:left="102" w:right="147"/>
              <w:rPr>
                <w:rFonts w:asciiTheme="minorHAnsi" w:hAnsiTheme="minorHAnsi" w:cstheme="minorHAnsi"/>
              </w:rPr>
            </w:pPr>
            <w:r w:rsidRPr="009931A3">
              <w:rPr>
                <w:rFonts w:asciiTheme="minorHAnsi" w:hAnsiTheme="minorHAnsi" w:cstheme="minorHAnsi"/>
                <w:b/>
                <w:bCs/>
                <w:shd w:val="clear" w:color="auto" w:fill="AFD3F0"/>
              </w:rPr>
              <w:t xml:space="preserve">Have you looked at the </w:t>
            </w:r>
            <w:proofErr w:type="spellStart"/>
            <w:r w:rsidRPr="009931A3">
              <w:rPr>
                <w:rFonts w:asciiTheme="minorHAnsi" w:hAnsiTheme="minorHAnsi" w:cstheme="minorHAnsi"/>
                <w:b/>
                <w:bCs/>
                <w:shd w:val="clear" w:color="auto" w:fill="AFD3F0"/>
              </w:rPr>
              <w:t>LBU</w:t>
            </w:r>
            <w:proofErr w:type="spellEnd"/>
            <w:r w:rsidRPr="009931A3">
              <w:rPr>
                <w:rFonts w:asciiTheme="minorHAnsi" w:hAnsiTheme="minorHAnsi" w:cstheme="minorHAnsi"/>
                <w:b/>
                <w:bCs/>
                <w:shd w:val="clear" w:color="auto" w:fill="AFD3F0"/>
              </w:rPr>
              <w:t xml:space="preserve"> </w:t>
            </w:r>
            <w:hyperlink r:id="rId30" w:history="1">
              <w:r w:rsidRPr="009931A3">
                <w:rPr>
                  <w:rStyle w:val="Hyperlink"/>
                  <w:rFonts w:cstheme="minorHAnsi"/>
                  <w:b/>
                  <w:bCs/>
                  <w:shd w:val="clear" w:color="auto" w:fill="AFD3F0"/>
                </w:rPr>
                <w:t>Inclusive Course Design Tool</w:t>
              </w:r>
            </w:hyperlink>
            <w:r w:rsidRPr="009931A3">
              <w:rPr>
                <w:rFonts w:asciiTheme="minorHAnsi" w:hAnsiTheme="minorHAnsi" w:cstheme="minorHAnsi"/>
                <w:b/>
                <w:bCs/>
              </w:rPr>
              <w:t>?</w:t>
            </w:r>
            <w:r w:rsidRPr="00133FCB">
              <w:rPr>
                <w:rFonts w:asciiTheme="minorHAnsi" w:hAnsiTheme="minorHAnsi" w:cstheme="minorHAnsi"/>
              </w:rPr>
              <w:t xml:space="preserve">  This Tool will support you and your team to reflect on the design of your course and how to best support all students with opportunities to achieve their very best. It covers many of the questions addressed below and is a holistic way to address multiple areas relating to inclusive course design.</w:t>
            </w:r>
          </w:p>
          <w:p w14:paraId="25A4A9F0" w14:textId="77777777" w:rsidR="003C14FA" w:rsidRPr="00133FCB" w:rsidRDefault="003C14FA" w:rsidP="003C14FA">
            <w:pPr>
              <w:pStyle w:val="BodyText"/>
              <w:keepLines/>
              <w:ind w:right="147"/>
              <w:rPr>
                <w:rFonts w:asciiTheme="minorHAnsi" w:hAnsiTheme="minorHAnsi" w:cstheme="minorHAnsi"/>
              </w:rPr>
            </w:pPr>
            <w:r w:rsidRPr="00133FCB">
              <w:rPr>
                <w:rFonts w:asciiTheme="minorHAnsi" w:hAnsiTheme="minorHAnsi" w:cstheme="minorHAnsi"/>
              </w:rPr>
              <w:t xml:space="preserve">You may also want to refer to our </w:t>
            </w:r>
            <w:r>
              <w:rPr>
                <w:rFonts w:asciiTheme="minorHAnsi" w:hAnsiTheme="minorHAnsi" w:cstheme="minorHAnsi"/>
              </w:rPr>
              <w:t>p</w:t>
            </w:r>
            <w:r w:rsidRPr="00133FCB">
              <w:rPr>
                <w:rFonts w:asciiTheme="minorHAnsi" w:hAnsiTheme="minorHAnsi" w:cstheme="minorHAnsi"/>
              </w:rPr>
              <w:t xml:space="preserve">ages on </w:t>
            </w:r>
            <w:hyperlink r:id="rId31" w:history="1">
              <w:r w:rsidRPr="00BF252F">
                <w:rPr>
                  <w:rStyle w:val="Hyperlink"/>
                  <w:rFonts w:cstheme="minorHAnsi"/>
                </w:rPr>
                <w:t>inclusive practice</w:t>
              </w:r>
            </w:hyperlink>
            <w:r>
              <w:rPr>
                <w:rFonts w:asciiTheme="minorHAnsi" w:hAnsiTheme="minorHAnsi" w:cstheme="minorHAnsi"/>
              </w:rPr>
              <w:t>.</w:t>
            </w:r>
            <w:r w:rsidRPr="00133FCB">
              <w:rPr>
                <w:rFonts w:asciiTheme="minorHAnsi" w:hAnsiTheme="minorHAnsi" w:cstheme="minorHAnsi"/>
              </w:rPr>
              <w:t xml:space="preserve"> </w:t>
            </w:r>
          </w:p>
          <w:p w14:paraId="29DF0694" w14:textId="77777777" w:rsidR="008D50F4" w:rsidRDefault="008D50F4" w:rsidP="0035584B">
            <w:pPr>
              <w:pStyle w:val="BodyText"/>
              <w:keepLines/>
              <w:ind w:left="0" w:right="147"/>
              <w:rPr>
                <w:rFonts w:asciiTheme="minorHAnsi" w:hAnsiTheme="minorHAnsi" w:cstheme="minorHAnsi"/>
              </w:rPr>
            </w:pPr>
          </w:p>
        </w:tc>
      </w:tr>
    </w:tbl>
    <w:p w14:paraId="29DBFF38" w14:textId="77777777" w:rsidR="008D50F4" w:rsidRPr="00133FCB" w:rsidRDefault="008D50F4" w:rsidP="008D50F4">
      <w:pPr>
        <w:pStyle w:val="BodyText"/>
        <w:ind w:left="0" w:right="145"/>
        <w:rPr>
          <w:rFonts w:asciiTheme="minorHAnsi" w:hAnsiTheme="minorHAnsi" w:cstheme="minorHAnsi"/>
        </w:rPr>
      </w:pPr>
    </w:p>
    <w:p w14:paraId="77DAC010" w14:textId="77777777" w:rsidR="008D50F4" w:rsidRPr="00E31542" w:rsidRDefault="008D50F4" w:rsidP="008D50F4">
      <w:pPr>
        <w:pStyle w:val="Heading2"/>
        <w:rPr>
          <w:b/>
          <w:bCs/>
          <w:color w:val="auto"/>
        </w:rPr>
      </w:pPr>
      <w:bookmarkStart w:id="6" w:name="_Toc40898367"/>
      <w:bookmarkStart w:id="7" w:name="_Toc41638314"/>
      <w:r w:rsidRPr="00E31542">
        <w:rPr>
          <w:b/>
          <w:bCs/>
          <w:color w:val="auto"/>
        </w:rPr>
        <w:t>Admissions</w:t>
      </w:r>
      <w:bookmarkEnd w:id="6"/>
      <w:bookmarkEnd w:id="7"/>
    </w:p>
    <w:p w14:paraId="1E0712E9" w14:textId="77777777" w:rsidR="008D50F4" w:rsidRDefault="008D50F4" w:rsidP="008D50F4">
      <w:pPr>
        <w:pStyle w:val="BodyText"/>
        <w:ind w:right="145"/>
        <w:rPr>
          <w:rFonts w:cs="Arial"/>
        </w:rPr>
      </w:pPr>
      <w:r>
        <w:rPr>
          <w:rFonts w:asciiTheme="minorHAnsi" w:hAnsiTheme="minorHAnsi" w:cstheme="minorHAnsi"/>
          <w:b/>
          <w:bCs/>
          <w:noProof/>
        </w:rPr>
        <w:drawing>
          <wp:anchor distT="0" distB="0" distL="114300" distR="114300" simplePos="0" relativeHeight="251661315" behindDoc="1" locked="1" layoutInCell="1" allowOverlap="1" wp14:anchorId="1BCCFD99" wp14:editId="22299D3E">
            <wp:simplePos x="0" y="0"/>
            <wp:positionH relativeFrom="column">
              <wp:posOffset>-374650</wp:posOffset>
            </wp:positionH>
            <wp:positionV relativeFrom="paragraph">
              <wp:posOffset>224790</wp:posOffset>
            </wp:positionV>
            <wp:extent cx="439200" cy="439200"/>
            <wp:effectExtent l="0" t="0" r="0" b="0"/>
            <wp:wrapNone/>
            <wp:docPr id="26" name="Graphic 26"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adwithgears.svg"/>
                    <pic:cNvPicPr/>
                  </pic:nvPicPr>
                  <pic:blipFill>
                    <a:blip r:embed="rId16">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3F0"/>
        <w:tblLook w:val="04A0" w:firstRow="1" w:lastRow="0" w:firstColumn="1" w:lastColumn="0" w:noHBand="0" w:noVBand="1"/>
      </w:tblPr>
      <w:tblGrid>
        <w:gridCol w:w="8926"/>
      </w:tblGrid>
      <w:tr w:rsidR="008D50F4" w14:paraId="66A44857" w14:textId="77777777" w:rsidTr="0035584B">
        <w:tc>
          <w:tcPr>
            <w:tcW w:w="9407" w:type="dxa"/>
            <w:shd w:val="clear" w:color="auto" w:fill="AFD3F0"/>
          </w:tcPr>
          <w:p w14:paraId="106D3A1B" w14:textId="77777777" w:rsidR="008D50F4" w:rsidRPr="00133FCB" w:rsidRDefault="008D50F4" w:rsidP="0035584B">
            <w:pPr>
              <w:pStyle w:val="BodyText"/>
              <w:spacing w:before="120"/>
              <w:ind w:left="102" w:right="147"/>
              <w:rPr>
                <w:rFonts w:asciiTheme="minorHAnsi" w:hAnsiTheme="minorHAnsi" w:cstheme="minorHAnsi"/>
              </w:rPr>
            </w:pPr>
            <w:r w:rsidRPr="00C703CE">
              <w:rPr>
                <w:rFonts w:asciiTheme="minorHAnsi" w:hAnsiTheme="minorHAnsi" w:cstheme="minorHAnsi"/>
                <w:b/>
                <w:bCs/>
              </w:rPr>
              <w:t>Do your admissions criteria:</w:t>
            </w:r>
          </w:p>
          <w:p w14:paraId="495ADFE5" w14:textId="77777777" w:rsidR="008D50F4" w:rsidRPr="00133FCB" w:rsidRDefault="008D50F4" w:rsidP="0035584B">
            <w:pPr>
              <w:pStyle w:val="BodyText"/>
              <w:ind w:right="145"/>
              <w:rPr>
                <w:rFonts w:asciiTheme="minorHAnsi" w:hAnsiTheme="minorHAnsi" w:cstheme="minorHAnsi"/>
              </w:rPr>
            </w:pPr>
          </w:p>
          <w:p w14:paraId="5CDBA251" w14:textId="77777777" w:rsidR="001D4CBE" w:rsidRPr="00133FCB" w:rsidRDefault="001D4CBE" w:rsidP="001D4CBE">
            <w:pPr>
              <w:pStyle w:val="Bulleted"/>
              <w:ind w:left="641"/>
              <w:rPr>
                <w:rFonts w:cstheme="minorHAnsi"/>
              </w:rPr>
            </w:pPr>
            <w:r w:rsidRPr="00133FCB">
              <w:rPr>
                <w:rFonts w:cstheme="minorHAnsi"/>
              </w:rPr>
              <w:t xml:space="preserve">Reflect the needs and </w:t>
            </w:r>
            <w:r w:rsidRPr="00C703CE">
              <w:rPr>
                <w:rFonts w:cstheme="minorHAnsi"/>
                <w:b/>
                <w:bCs/>
              </w:rPr>
              <w:t>diversity</w:t>
            </w:r>
            <w:r w:rsidRPr="00133FCB">
              <w:rPr>
                <w:rFonts w:cstheme="minorHAnsi"/>
              </w:rPr>
              <w:t xml:space="preserve"> of potential students?</w:t>
            </w:r>
          </w:p>
          <w:p w14:paraId="70EED89C" w14:textId="77777777" w:rsidR="001D4CBE" w:rsidRPr="00133FCB" w:rsidRDefault="001D4CBE" w:rsidP="001D4CBE">
            <w:pPr>
              <w:pStyle w:val="Bulleted"/>
              <w:ind w:left="641"/>
              <w:rPr>
                <w:rFonts w:cstheme="minorHAnsi"/>
              </w:rPr>
            </w:pPr>
            <w:r w:rsidRPr="00133FCB">
              <w:rPr>
                <w:rFonts w:cstheme="minorHAnsi"/>
              </w:rPr>
              <w:t xml:space="preserve">Approach any requirement of the progression concerned positively with a view, wherever possible, of making suitable </w:t>
            </w:r>
            <w:r w:rsidRPr="00C703CE">
              <w:rPr>
                <w:rFonts w:cstheme="minorHAnsi"/>
                <w:b/>
                <w:bCs/>
              </w:rPr>
              <w:t>alternative provision</w:t>
            </w:r>
            <w:r w:rsidRPr="00133FCB">
              <w:rPr>
                <w:rFonts w:cstheme="minorHAnsi"/>
              </w:rPr>
              <w:t>?</w:t>
            </w:r>
          </w:p>
          <w:p w14:paraId="15F8DB0D" w14:textId="77777777" w:rsidR="001D4CBE" w:rsidRPr="00133FCB" w:rsidRDefault="001D4CBE" w:rsidP="001D4CBE">
            <w:pPr>
              <w:pStyle w:val="Bulleted"/>
              <w:ind w:left="641"/>
              <w:rPr>
                <w:rFonts w:cstheme="minorHAnsi"/>
              </w:rPr>
            </w:pPr>
            <w:r w:rsidRPr="00133FCB">
              <w:rPr>
                <w:rFonts w:cstheme="minorHAnsi"/>
              </w:rPr>
              <w:t xml:space="preserve">Ensure no </w:t>
            </w:r>
            <w:r>
              <w:rPr>
                <w:rFonts w:cstheme="minorHAnsi"/>
              </w:rPr>
              <w:t>section</w:t>
            </w:r>
            <w:r w:rsidRPr="00133FCB">
              <w:rPr>
                <w:rFonts w:cstheme="minorHAnsi"/>
              </w:rPr>
              <w:t xml:space="preserve"> of the student community is automatically deselected by </w:t>
            </w:r>
            <w:r w:rsidRPr="00C703CE">
              <w:rPr>
                <w:rFonts w:cstheme="minorHAnsi"/>
                <w:b/>
                <w:bCs/>
              </w:rPr>
              <w:t>particular requirements</w:t>
            </w:r>
            <w:r w:rsidRPr="00133FCB">
              <w:rPr>
                <w:rFonts w:cstheme="minorHAnsi"/>
              </w:rPr>
              <w:t>?</w:t>
            </w:r>
          </w:p>
          <w:p w14:paraId="3FD19740" w14:textId="77777777" w:rsidR="008D50F4" w:rsidRDefault="008D50F4" w:rsidP="0035584B">
            <w:pPr>
              <w:pStyle w:val="BodyText"/>
              <w:ind w:left="0" w:right="145"/>
              <w:rPr>
                <w:rFonts w:cs="Arial"/>
              </w:rPr>
            </w:pPr>
          </w:p>
        </w:tc>
      </w:tr>
    </w:tbl>
    <w:p w14:paraId="4778267E" w14:textId="77777777" w:rsidR="008D50F4" w:rsidRDefault="008D50F4" w:rsidP="008D50F4">
      <w:pPr>
        <w:pStyle w:val="BodyText"/>
        <w:ind w:right="145"/>
        <w:rPr>
          <w:rFonts w:cs="Arial"/>
        </w:rPr>
      </w:pPr>
    </w:p>
    <w:p w14:paraId="67699766" w14:textId="77777777" w:rsidR="008D50F4" w:rsidRPr="00E31542" w:rsidRDefault="008D50F4" w:rsidP="008D50F4">
      <w:pPr>
        <w:pStyle w:val="Heading2"/>
        <w:ind w:left="102"/>
        <w:rPr>
          <w:b/>
          <w:bCs/>
          <w:color w:val="auto"/>
        </w:rPr>
      </w:pPr>
      <w:bookmarkStart w:id="8" w:name="_Toc40898368"/>
      <w:bookmarkStart w:id="9" w:name="_Toc41638315"/>
      <w:r w:rsidRPr="00E31542">
        <w:rPr>
          <w:b/>
          <w:bCs/>
          <w:color w:val="auto"/>
        </w:rPr>
        <w:t>Assessment</w:t>
      </w:r>
      <w:bookmarkEnd w:id="8"/>
      <w:bookmarkEnd w:id="9"/>
    </w:p>
    <w:p w14:paraId="58E205E9" w14:textId="77777777" w:rsidR="008D50F4" w:rsidRPr="00133FCB" w:rsidRDefault="008D50F4" w:rsidP="008D50F4">
      <w:pPr>
        <w:pStyle w:val="BodyText"/>
        <w:ind w:right="145"/>
        <w:rPr>
          <w:rFonts w:asciiTheme="minorHAnsi" w:hAnsiTheme="minorHAnsi" w:cstheme="minorHAnsi"/>
          <w:b/>
        </w:rPr>
      </w:pPr>
      <w:r>
        <w:rPr>
          <w:rFonts w:asciiTheme="minorHAnsi" w:hAnsiTheme="minorHAnsi" w:cstheme="minorHAnsi"/>
          <w:b/>
          <w:bCs/>
          <w:noProof/>
        </w:rPr>
        <w:drawing>
          <wp:anchor distT="0" distB="0" distL="114300" distR="114300" simplePos="0" relativeHeight="251662339" behindDoc="1" locked="1" layoutInCell="1" allowOverlap="1" wp14:anchorId="31821204" wp14:editId="65F9E9A9">
            <wp:simplePos x="0" y="0"/>
            <wp:positionH relativeFrom="column">
              <wp:posOffset>-374650</wp:posOffset>
            </wp:positionH>
            <wp:positionV relativeFrom="paragraph">
              <wp:posOffset>233680</wp:posOffset>
            </wp:positionV>
            <wp:extent cx="439200" cy="439200"/>
            <wp:effectExtent l="0" t="0" r="0" b="0"/>
            <wp:wrapNone/>
            <wp:docPr id="27" name="Graphic 27"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withgears.svg"/>
                    <pic:cNvPicPr/>
                  </pic:nvPicPr>
                  <pic:blipFill>
                    <a:blip r:embed="rId16">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8D50F4" w14:paraId="65E67F50" w14:textId="77777777" w:rsidTr="0035584B">
        <w:tc>
          <w:tcPr>
            <w:tcW w:w="9407" w:type="dxa"/>
            <w:shd w:val="clear" w:color="auto" w:fill="AFD3F0"/>
          </w:tcPr>
          <w:p w14:paraId="72099E06" w14:textId="77777777" w:rsidR="008D50F4" w:rsidRPr="00133FCB" w:rsidRDefault="008D50F4" w:rsidP="0035584B">
            <w:pPr>
              <w:pStyle w:val="BodyText"/>
              <w:spacing w:before="120"/>
              <w:ind w:left="102" w:right="147"/>
              <w:rPr>
                <w:rFonts w:asciiTheme="minorHAnsi" w:hAnsiTheme="minorHAnsi" w:cstheme="minorHAnsi"/>
              </w:rPr>
            </w:pPr>
            <w:r w:rsidRPr="00C703CE">
              <w:rPr>
                <w:rFonts w:asciiTheme="minorHAnsi" w:hAnsiTheme="minorHAnsi" w:cstheme="minorHAnsi"/>
                <w:b/>
                <w:bCs/>
              </w:rPr>
              <w:t>Is your student assessment:</w:t>
            </w:r>
          </w:p>
          <w:p w14:paraId="760038F9" w14:textId="77777777" w:rsidR="008D50F4" w:rsidRPr="00133FCB" w:rsidRDefault="008D50F4" w:rsidP="0035584B">
            <w:pPr>
              <w:pStyle w:val="BodyText"/>
              <w:ind w:left="284" w:right="145"/>
              <w:rPr>
                <w:rFonts w:asciiTheme="minorHAnsi" w:hAnsiTheme="minorHAnsi" w:cstheme="minorHAnsi"/>
              </w:rPr>
            </w:pPr>
          </w:p>
          <w:p w14:paraId="2B5D0204" w14:textId="77777777" w:rsidR="00B901A1" w:rsidRPr="00133FCB" w:rsidRDefault="00B901A1" w:rsidP="00B901A1">
            <w:pPr>
              <w:pStyle w:val="Bulleted"/>
              <w:ind w:left="641"/>
              <w:rPr>
                <w:rFonts w:cstheme="minorHAnsi"/>
              </w:rPr>
            </w:pPr>
            <w:r w:rsidRPr="00C703CE">
              <w:rPr>
                <w:rFonts w:cstheme="minorHAnsi"/>
                <w:b/>
                <w:bCs/>
              </w:rPr>
              <w:t>Varied</w:t>
            </w:r>
            <w:r w:rsidRPr="00133FCB">
              <w:rPr>
                <w:rFonts w:cstheme="minorHAnsi"/>
              </w:rPr>
              <w:t xml:space="preserve"> in its method and written in a way that avoids jargon and is easily understood by a diverse group of students?</w:t>
            </w:r>
          </w:p>
          <w:p w14:paraId="2A2330AA" w14:textId="77777777" w:rsidR="00B901A1" w:rsidRPr="00133FCB" w:rsidRDefault="00B901A1" w:rsidP="00B901A1">
            <w:pPr>
              <w:pStyle w:val="Bulleted"/>
              <w:ind w:left="641"/>
              <w:rPr>
                <w:rFonts w:cstheme="minorHAnsi"/>
              </w:rPr>
            </w:pPr>
            <w:r w:rsidRPr="00133FCB">
              <w:rPr>
                <w:rFonts w:cstheme="minorHAnsi"/>
              </w:rPr>
              <w:t xml:space="preserve">Free of cultural and gender-biased assumptions, reflecting social and cultural </w:t>
            </w:r>
            <w:r w:rsidRPr="00C703CE">
              <w:rPr>
                <w:rFonts w:cstheme="minorHAnsi"/>
                <w:b/>
                <w:bCs/>
              </w:rPr>
              <w:t>diversity</w:t>
            </w:r>
            <w:r w:rsidRPr="00133FCB">
              <w:rPr>
                <w:rFonts w:cstheme="minorHAnsi"/>
              </w:rPr>
              <w:t xml:space="preserve"> where possible?</w:t>
            </w:r>
          </w:p>
          <w:p w14:paraId="230EC21A" w14:textId="77777777" w:rsidR="00B901A1" w:rsidRPr="00311D95" w:rsidRDefault="00B901A1" w:rsidP="00B901A1">
            <w:pPr>
              <w:pStyle w:val="Bulleted"/>
              <w:keepLines/>
              <w:spacing w:before="360"/>
              <w:ind w:left="641"/>
              <w:rPr>
                <w:rFonts w:cstheme="minorHAnsi"/>
              </w:rPr>
            </w:pPr>
            <w:r w:rsidRPr="00311D95">
              <w:rPr>
                <w:rFonts w:cstheme="minorHAnsi"/>
              </w:rPr>
              <w:lastRenderedPageBreak/>
              <w:t>Able to take account of different learning</w:t>
            </w:r>
            <w:r w:rsidRPr="00311D95">
              <w:rPr>
                <w:rFonts w:cstheme="minorHAnsi"/>
                <w:b/>
                <w:bCs/>
              </w:rPr>
              <w:t xml:space="preserve"> preferences</w:t>
            </w:r>
            <w:r w:rsidRPr="00311D95">
              <w:rPr>
                <w:rFonts w:cstheme="minorHAnsi"/>
              </w:rPr>
              <w:t xml:space="preserve">, </w:t>
            </w:r>
            <w:r>
              <w:rPr>
                <w:rFonts w:cstheme="minorHAnsi"/>
              </w:rPr>
              <w:t>and</w:t>
            </w:r>
            <w:r w:rsidRPr="00311D95">
              <w:rPr>
                <w:rFonts w:cstheme="minorHAnsi"/>
              </w:rPr>
              <w:t xml:space="preserve"> </w:t>
            </w:r>
            <w:r w:rsidRPr="00311D95">
              <w:rPr>
                <w:rFonts w:cstheme="minorHAnsi"/>
                <w:b/>
                <w:bCs/>
              </w:rPr>
              <w:t>disabilities</w:t>
            </w:r>
            <w:r w:rsidRPr="00311D95">
              <w:rPr>
                <w:rFonts w:cstheme="minorHAnsi"/>
              </w:rPr>
              <w:t xml:space="preserve"> when designing how a module/course is delivered, </w:t>
            </w:r>
            <w:r>
              <w:rPr>
                <w:rFonts w:cstheme="minorHAnsi"/>
              </w:rPr>
              <w:t>o</w:t>
            </w:r>
            <w:r w:rsidRPr="00311D95">
              <w:rPr>
                <w:rFonts w:cstheme="minorHAnsi"/>
              </w:rPr>
              <w:t xml:space="preserve">ffered with a </w:t>
            </w:r>
            <w:r w:rsidRPr="00311D95">
              <w:rPr>
                <w:rFonts w:cstheme="minorHAnsi"/>
                <w:b/>
                <w:bCs/>
              </w:rPr>
              <w:t>choice</w:t>
            </w:r>
            <w:r w:rsidRPr="00311D95">
              <w:rPr>
                <w:rFonts w:cstheme="minorHAnsi"/>
              </w:rPr>
              <w:t xml:space="preserve"> of titles/options if appropriate?</w:t>
            </w:r>
          </w:p>
          <w:p w14:paraId="3C1AA987" w14:textId="083918D8" w:rsidR="008D50F4" w:rsidRPr="009931A3" w:rsidRDefault="00B901A1" w:rsidP="00B901A1">
            <w:pPr>
              <w:pStyle w:val="Bulleted"/>
              <w:keepLines/>
              <w:ind w:left="641"/>
              <w:rPr>
                <w:rFonts w:cstheme="minorHAnsi"/>
              </w:rPr>
            </w:pPr>
            <w:r w:rsidRPr="00311D95">
              <w:rPr>
                <w:rFonts w:cstheme="minorHAnsi"/>
                <w:b/>
                <w:bCs/>
              </w:rPr>
              <w:t>Scheduled and timetabled sessions</w:t>
            </w:r>
            <w:r>
              <w:rPr>
                <w:rFonts w:cstheme="minorHAnsi"/>
              </w:rPr>
              <w:t xml:space="preserve"> </w:t>
            </w:r>
            <w:r w:rsidRPr="009931A3">
              <w:rPr>
                <w:rFonts w:cstheme="minorHAnsi"/>
              </w:rPr>
              <w:t>to consider, for example, part-time students, students with caring responsibilities</w:t>
            </w:r>
            <w:r>
              <w:rPr>
                <w:rFonts w:cstheme="minorHAnsi"/>
              </w:rPr>
              <w:t>,</w:t>
            </w:r>
            <w:r w:rsidRPr="009931A3">
              <w:rPr>
                <w:rFonts w:cstheme="minorHAnsi"/>
              </w:rPr>
              <w:t xml:space="preserve"> and religious calendars</w:t>
            </w:r>
            <w:r>
              <w:rPr>
                <w:rFonts w:cstheme="minorHAnsi"/>
              </w:rPr>
              <w:t>?</w:t>
            </w:r>
            <w:bookmarkStart w:id="10" w:name="_GoBack"/>
            <w:bookmarkEnd w:id="10"/>
          </w:p>
        </w:tc>
      </w:tr>
    </w:tbl>
    <w:p w14:paraId="778560EC" w14:textId="77777777" w:rsidR="00E119A5" w:rsidRPr="00133FCB" w:rsidRDefault="00E119A5" w:rsidP="00E119A5">
      <w:pPr>
        <w:spacing w:before="16" w:line="260" w:lineRule="exact"/>
        <w:rPr>
          <w:sz w:val="26"/>
          <w:szCs w:val="26"/>
        </w:rPr>
      </w:pPr>
      <w:r>
        <w:rPr>
          <w:noProof/>
        </w:rPr>
        <w:lastRenderedPageBreak/>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31BE441" w:rsidR="00E119A5" w:rsidRDefault="00E119A5" w:rsidP="00E119A5">
      <w:pPr>
        <w:keepNext/>
        <w:spacing w:before="16"/>
        <w:rPr>
          <w:rFonts w:cstheme="minorHAnsi"/>
          <w:b/>
          <w:bCs/>
          <w:szCs w:val="24"/>
        </w:rPr>
      </w:pPr>
      <w:r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299FECF4" w:rsidR="00F72FC8" w:rsidRDefault="000757E8" w:rsidP="00415926">
      <w:pPr>
        <w:pBdr>
          <w:top w:val="single" w:sz="4" w:space="1" w:color="auto"/>
          <w:left w:val="single" w:sz="4" w:space="4" w:color="auto"/>
          <w:bottom w:val="single" w:sz="4" w:space="1" w:color="auto"/>
          <w:right w:val="single" w:sz="4" w:space="17" w:color="auto"/>
        </w:pBdr>
      </w:pPr>
      <w:r w:rsidRPr="00B45C5B">
        <w:rPr>
          <w:rFonts w:cstheme="minorHAnsi"/>
          <w:szCs w:val="24"/>
        </w:rPr>
        <w:t xml:space="preserve">References and further reading for this section can be found in the </w:t>
      </w:r>
      <w:hyperlink r:id="rId32" w:anchor="CA937AB6-C788-10C6-E07B-47E75FBAE223" w:history="1">
        <w:r w:rsidRPr="00B45C5B">
          <w:rPr>
            <w:rStyle w:val="Hyperlink"/>
            <w:rFonts w:cstheme="minorHAnsi"/>
            <w:szCs w:val="24"/>
          </w:rPr>
          <w:t>An Inclusive Environment</w:t>
        </w:r>
      </w:hyperlink>
      <w:r w:rsidRPr="00B45C5B">
        <w:rPr>
          <w:rFonts w:cstheme="minorHAnsi"/>
          <w:szCs w:val="24"/>
        </w:rPr>
        <w:t xml:space="preserve"> section of the </w:t>
      </w:r>
      <w:hyperlink r:id="rId33" w:history="1">
        <w:r w:rsidRPr="00951D38">
          <w:rPr>
            <w:rStyle w:val="Hyperlink"/>
            <w:rFonts w:cstheme="minorHAnsi"/>
            <w:szCs w:val="24"/>
          </w:rPr>
          <w:t>Course Development Principles reading list</w:t>
        </w:r>
      </w:hyperlink>
      <w:r w:rsidRPr="00B45C5B">
        <w:rPr>
          <w:rFonts w:cstheme="minorHAnsi"/>
          <w:szCs w:val="24"/>
        </w:rPr>
        <w:t xml:space="preserve"> on </w:t>
      </w:r>
      <w:proofErr w:type="spellStart"/>
      <w:r w:rsidRPr="00B45C5B">
        <w:rPr>
          <w:rFonts w:cstheme="minorHAnsi"/>
          <w:szCs w:val="24"/>
        </w:rPr>
        <w:t>Talis</w:t>
      </w:r>
      <w:proofErr w:type="spellEnd"/>
      <w:r w:rsidRPr="00B45C5B">
        <w:rPr>
          <w:rFonts w:cstheme="minorHAnsi"/>
          <w:szCs w:val="24"/>
        </w:rPr>
        <w:t xml:space="preserve"> </w:t>
      </w:r>
      <w:r>
        <w:rPr>
          <w:rFonts w:cstheme="minorHAnsi"/>
          <w:szCs w:val="24"/>
        </w:rPr>
        <w:t>Aspire</w:t>
      </w:r>
      <w:r w:rsidRPr="00A630C9">
        <w:t>.</w:t>
      </w:r>
    </w:p>
    <w:sectPr w:rsidR="00F72FC8" w:rsidSect="00AA5872">
      <w:footerReference w:type="default" r:id="rId3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AFE1" w14:textId="77777777" w:rsidR="004B6E9C" w:rsidRDefault="004B6E9C" w:rsidP="00AA5872">
      <w:pPr>
        <w:spacing w:line="240" w:lineRule="auto"/>
      </w:pPr>
      <w:r>
        <w:separator/>
      </w:r>
    </w:p>
  </w:endnote>
  <w:endnote w:type="continuationSeparator" w:id="0">
    <w:p w14:paraId="78E3B2EF" w14:textId="77777777" w:rsidR="004B6E9C" w:rsidRDefault="004B6E9C" w:rsidP="00AA5872">
      <w:pPr>
        <w:spacing w:line="240" w:lineRule="auto"/>
      </w:pPr>
      <w:r>
        <w:continuationSeparator/>
      </w:r>
    </w:p>
  </w:endnote>
  <w:endnote w:type="continuationNotice" w:id="1">
    <w:p w14:paraId="0C76BF16" w14:textId="77777777" w:rsidR="004B6E9C" w:rsidRDefault="004B6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23330FA1"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7" name="Picture 7"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B371FA">
            <w:rPr>
              <w:noProof/>
              <w:sz w:val="18"/>
              <w:szCs w:val="18"/>
            </w:rPr>
            <w:t>PG_Inclusive_Environment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CB78" w14:textId="77777777" w:rsidR="004B6E9C" w:rsidRDefault="004B6E9C" w:rsidP="00AA5872">
      <w:pPr>
        <w:spacing w:line="240" w:lineRule="auto"/>
      </w:pPr>
      <w:r>
        <w:separator/>
      </w:r>
    </w:p>
  </w:footnote>
  <w:footnote w:type="continuationSeparator" w:id="0">
    <w:p w14:paraId="336E0B65" w14:textId="77777777" w:rsidR="004B6E9C" w:rsidRDefault="004B6E9C" w:rsidP="00AA5872">
      <w:pPr>
        <w:spacing w:line="240" w:lineRule="auto"/>
      </w:pPr>
      <w:r>
        <w:continuationSeparator/>
      </w:r>
    </w:p>
  </w:footnote>
  <w:footnote w:type="continuationNotice" w:id="1">
    <w:p w14:paraId="70CEDB5A" w14:textId="77777777" w:rsidR="004B6E9C" w:rsidRDefault="004B6E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B814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5D8"/>
    <w:rsid w:val="000757E8"/>
    <w:rsid w:val="000916C7"/>
    <w:rsid w:val="000F77E7"/>
    <w:rsid w:val="001205D2"/>
    <w:rsid w:val="00146466"/>
    <w:rsid w:val="00150236"/>
    <w:rsid w:val="001D4CBE"/>
    <w:rsid w:val="002048D9"/>
    <w:rsid w:val="002B5B59"/>
    <w:rsid w:val="002C0D82"/>
    <w:rsid w:val="002F0D1F"/>
    <w:rsid w:val="003650C4"/>
    <w:rsid w:val="003853C9"/>
    <w:rsid w:val="003C14FA"/>
    <w:rsid w:val="00415926"/>
    <w:rsid w:val="0043191E"/>
    <w:rsid w:val="004B6E9C"/>
    <w:rsid w:val="0068446B"/>
    <w:rsid w:val="00687BBD"/>
    <w:rsid w:val="008D50F4"/>
    <w:rsid w:val="0091223A"/>
    <w:rsid w:val="00927289"/>
    <w:rsid w:val="009D6F6C"/>
    <w:rsid w:val="00AA5872"/>
    <w:rsid w:val="00B371FA"/>
    <w:rsid w:val="00B901A1"/>
    <w:rsid w:val="00BB2DE0"/>
    <w:rsid w:val="00BF2A10"/>
    <w:rsid w:val="00C507B7"/>
    <w:rsid w:val="00C73180"/>
    <w:rsid w:val="00CA25B5"/>
    <w:rsid w:val="00CE6220"/>
    <w:rsid w:val="00D2201F"/>
    <w:rsid w:val="00DC2DDB"/>
    <w:rsid w:val="00E119A5"/>
    <w:rsid w:val="00E21C24"/>
    <w:rsid w:val="00E31542"/>
    <w:rsid w:val="00E70C25"/>
    <w:rsid w:val="00EE6675"/>
    <w:rsid w:val="00F72FC8"/>
    <w:rsid w:val="00FA74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BF2A10"/>
    <w:pPr>
      <w:autoSpaceDE w:val="0"/>
      <w:autoSpaceDN w:val="0"/>
      <w:adjustRightInd w:val="0"/>
      <w:spacing w:line="288" w:lineRule="auto"/>
      <w:textAlignment w:val="center"/>
    </w:pPr>
    <w:rPr>
      <w:rFonts w:ascii="MinionPro-Regular" w:eastAsiaTheme="minorEastAsia" w:hAnsi="MinionPro-Regular" w:cs="MinionPro-Regular"/>
      <w:color w:val="000000"/>
      <w:szCs w:val="24"/>
      <w:lang w:eastAsia="ja-JP"/>
    </w:rPr>
  </w:style>
  <w:style w:type="paragraph" w:styleId="ListBullet">
    <w:name w:val="List Bullet"/>
    <w:basedOn w:val="Normal"/>
    <w:uiPriority w:val="99"/>
    <w:semiHidden/>
    <w:unhideWhenUsed/>
    <w:rsid w:val="00BF2A1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vance-he.ac.uk/knowledge-hub/inclusive-learning-and-teaching-higher-education-synthesis-research" TargetMode="External"/><Relationship Id="rId18" Type="http://schemas.openxmlformats.org/officeDocument/2006/relationships/hyperlink" Target="https://my.leedsbeckett.ac.uk/webapps/login/" TargetMode="External"/><Relationship Id="rId26" Type="http://schemas.openxmlformats.org/officeDocument/2006/relationships/hyperlink" Target="https://teachlearn.leedsbeckett.ac.uk/guides/mybeckett-and-digital-learning-guides/microsoft-teams/" TargetMode="External"/><Relationship Id="rId3" Type="http://schemas.openxmlformats.org/officeDocument/2006/relationships/customXml" Target="../customXml/item3.xml"/><Relationship Id="rId21" Type="http://schemas.openxmlformats.org/officeDocument/2006/relationships/hyperlink" Target="https://www.leedsbeckett.ac.uk/staffsite/services/student-services/supporting-our-students/disability-advic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andfonline.com/doi/full/10.1080/17439880802097683" TargetMode="External"/><Relationship Id="rId17" Type="http://schemas.openxmlformats.org/officeDocument/2006/relationships/image" Target="media/image4.svg"/><Relationship Id="rId25" Type="http://schemas.openxmlformats.org/officeDocument/2006/relationships/hyperlink" Target="https://teachlearn.leedsbeckett.ac.uk/guides/mybeckett-and-digital-learning-guides/mybeckett/create-sub-groups/" TargetMode="External"/><Relationship Id="rId33" Type="http://schemas.openxmlformats.org/officeDocument/2006/relationships/hyperlink" Target="https://beckett.rl.talis.com/lists/086BF37E-85D6-9E4A-D3A6-B7EA51D08C98.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teachlearn.leedsbeckett.ac.uk/guides/mybeckett-and-digital-learning-guides/microsoft-teams/" TargetMode="External"/><Relationship Id="rId29" Type="http://schemas.openxmlformats.org/officeDocument/2006/relationships/hyperlink" Target="https://beckett.rl.talis.com/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knowledge-hub/essential-frameworks-enhancing-student-success-flexible-learning" TargetMode="External"/><Relationship Id="rId24" Type="http://schemas.openxmlformats.org/officeDocument/2006/relationships/image" Target="media/image5.png"/><Relationship Id="rId32" Type="http://schemas.openxmlformats.org/officeDocument/2006/relationships/hyperlink" Target="https://rl.talis.com/3/beckett/lists/086BF37E-85D6-9E4A-D3A6-B7EA51D08C98.html?lang=en-US&amp;login=1" TargetMode="External"/><Relationship Id="rId5"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hyperlink" Target="https://www.researchgate.net/publication/327142567_Classroom_Motivational_Climate_in_Online_and_Face-to-Face_Undergraduate_Courses_The_Interplay_of_Gender_and_Course_Format" TargetMode="External"/><Relationship Id="rId28" Type="http://schemas.openxmlformats.org/officeDocument/2006/relationships/hyperlink" Target="https://teachlearn.leedsbeckett.ac.uk/guides/mybeckett-and-digital-learning-guides/microsoft-teams/" TargetMode="External"/><Relationship Id="rId36" Type="http://schemas.openxmlformats.org/officeDocument/2006/relationships/theme" Target="theme/theme1.xml"/><Relationship Id="rId10" Type="http://schemas.openxmlformats.org/officeDocument/2006/relationships/hyperlink" Target="http://www.legislation.gov.uk/ukpga/2010/15/contents" TargetMode="External"/><Relationship Id="rId19" Type="http://schemas.openxmlformats.org/officeDocument/2006/relationships/hyperlink" Target="https://teachlearn.leedsbeckett.ac.uk/guides/mybeckett-and-digital-learning-guides/microsoft-teams/" TargetMode="External"/><Relationship Id="rId31" Type="http://schemas.openxmlformats.org/officeDocument/2006/relationships/hyperlink" Target="https://teachlearn.leedsbeckett.ac.uk/teaching-and-learning/inclusiv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sustainability.glos.ac.uk/wp-content/uploads/2017/07/New-Pedagogical-Ideas.pdf" TargetMode="External"/><Relationship Id="rId27" Type="http://schemas.openxmlformats.org/officeDocument/2006/relationships/hyperlink" Target="https://teachlearn.leedsbeckett.ac.uk/guides/mybeckett-and-digital-learning-guides/mybeckett/create-a-discussion-board/" TargetMode="External"/><Relationship Id="rId30" Type="http://schemas.openxmlformats.org/officeDocument/2006/relationships/hyperlink" Target="https://teachlearn.leedsbeckett.ac.uk/teaching-and-learning/inclusive-practice/the-inclusive-course-design-too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3.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15</cp:revision>
  <dcterms:created xsi:type="dcterms:W3CDTF">2020-12-04T15:15:00Z</dcterms:created>
  <dcterms:modified xsi:type="dcterms:W3CDTF">2020-12-10T16:24:00Z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