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ECFF"/>
  <w:body>
    <w:p w14:paraId="4BE9C3D8" w14:textId="77777777"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5651EC75">
                <wp:simplePos x="0" y="0"/>
                <wp:positionH relativeFrom="margin">
                  <wp:align>left</wp:align>
                </wp:positionH>
                <wp:positionV relativeFrom="paragraph">
                  <wp:posOffset>3810</wp:posOffset>
                </wp:positionV>
                <wp:extent cx="5972400" cy="4860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400" cy="486000"/>
                        </a:xfrm>
                        <a:prstGeom prst="roundRect">
                          <a:avLst/>
                        </a:prstGeom>
                        <a:solidFill>
                          <a:srgbClr val="26A8DF"/>
                        </a:solidFill>
                        <a:ln w="9525">
                          <a:noFill/>
                          <a:miter lim="800000"/>
                          <a:headEnd/>
                          <a:tailEnd/>
                        </a:ln>
                      </wps:spPr>
                      <wps:txbx>
                        <w:txbxContent>
                          <w:p w14:paraId="5C2A0B0F" w14:textId="6460634C" w:rsidR="00E119A5" w:rsidRPr="002B03BC" w:rsidRDefault="00057F68" w:rsidP="00057F68">
                            <w:pPr>
                              <w:pStyle w:val="Heading1"/>
                              <w:spacing w:before="56"/>
                              <w:rPr>
                                <w:color w:val="FFFFFF" w:themeColor="background1"/>
                              </w:rPr>
                            </w:pPr>
                            <w:bookmarkStart w:id="0" w:name="Activities_Linked_To_Student_Experience"/>
                            <w:bookmarkStart w:id="1" w:name="_Toc40898372"/>
                            <w:bookmarkStart w:id="2" w:name="_Toc41638319"/>
                            <w:bookmarkEnd w:id="0"/>
                            <w:r w:rsidRPr="00B37327">
                              <w:rPr>
                                <w:color w:val="FFFFFF" w:themeColor="background1"/>
                                <w:spacing w:val="-6"/>
                              </w:rPr>
                              <w:t>A</w:t>
                            </w:r>
                            <w:r w:rsidRPr="00B37327">
                              <w:rPr>
                                <w:color w:val="FFFFFF" w:themeColor="background1"/>
                                <w:spacing w:val="1"/>
                              </w:rPr>
                              <w:t>c</w:t>
                            </w:r>
                            <w:r w:rsidRPr="00B37327">
                              <w:rPr>
                                <w:color w:val="FFFFFF" w:themeColor="background1"/>
                              </w:rPr>
                              <w:t>ti</w:t>
                            </w:r>
                            <w:r w:rsidRPr="00B37327">
                              <w:rPr>
                                <w:color w:val="FFFFFF" w:themeColor="background1"/>
                                <w:spacing w:val="-3"/>
                              </w:rPr>
                              <w:t>v</w:t>
                            </w:r>
                            <w:r w:rsidRPr="00B37327">
                              <w:rPr>
                                <w:color w:val="FFFFFF" w:themeColor="background1"/>
                              </w:rPr>
                              <w:t xml:space="preserve">ities </w:t>
                            </w:r>
                            <w:r w:rsidRPr="00B37327">
                              <w:rPr>
                                <w:color w:val="FFFFFF" w:themeColor="background1"/>
                                <w:spacing w:val="-2"/>
                              </w:rPr>
                              <w:t>L</w:t>
                            </w:r>
                            <w:r w:rsidRPr="00B37327">
                              <w:rPr>
                                <w:color w:val="FFFFFF" w:themeColor="background1"/>
                              </w:rPr>
                              <w:t>i</w:t>
                            </w:r>
                            <w:r w:rsidRPr="00B37327">
                              <w:rPr>
                                <w:color w:val="FFFFFF" w:themeColor="background1"/>
                                <w:spacing w:val="-2"/>
                              </w:rPr>
                              <w:t>n</w:t>
                            </w:r>
                            <w:r w:rsidRPr="00B37327">
                              <w:rPr>
                                <w:color w:val="FFFFFF" w:themeColor="background1"/>
                              </w:rPr>
                              <w:t>ked</w:t>
                            </w:r>
                            <w:r w:rsidRPr="00B37327">
                              <w:rPr>
                                <w:color w:val="FFFFFF" w:themeColor="background1"/>
                                <w:spacing w:val="-3"/>
                              </w:rPr>
                              <w:t xml:space="preserve"> t</w:t>
                            </w:r>
                            <w:r w:rsidRPr="00B37327">
                              <w:rPr>
                                <w:color w:val="FFFFFF" w:themeColor="background1"/>
                              </w:rPr>
                              <w:t>o</w:t>
                            </w:r>
                            <w:r w:rsidRPr="00B37327">
                              <w:rPr>
                                <w:color w:val="FFFFFF" w:themeColor="background1"/>
                                <w:spacing w:val="-1"/>
                              </w:rPr>
                              <w:t xml:space="preserve"> </w:t>
                            </w:r>
                            <w:r w:rsidRPr="00B37327">
                              <w:rPr>
                                <w:color w:val="FFFFFF" w:themeColor="background1"/>
                              </w:rPr>
                              <w:t>St</w:t>
                            </w:r>
                            <w:r w:rsidRPr="00B37327">
                              <w:rPr>
                                <w:color w:val="FFFFFF" w:themeColor="background1"/>
                                <w:spacing w:val="-2"/>
                              </w:rPr>
                              <w:t>ud</w:t>
                            </w:r>
                            <w:r w:rsidRPr="00B37327">
                              <w:rPr>
                                <w:color w:val="FFFFFF" w:themeColor="background1"/>
                              </w:rPr>
                              <w:t>e</w:t>
                            </w:r>
                            <w:r w:rsidRPr="00B37327">
                              <w:rPr>
                                <w:color w:val="FFFFFF" w:themeColor="background1"/>
                                <w:spacing w:val="-2"/>
                              </w:rPr>
                              <w:t>n</w:t>
                            </w:r>
                            <w:r w:rsidRPr="00B37327">
                              <w:rPr>
                                <w:color w:val="FFFFFF" w:themeColor="background1"/>
                              </w:rPr>
                              <w:t>t</w:t>
                            </w:r>
                            <w:r w:rsidRPr="00B37327">
                              <w:rPr>
                                <w:color w:val="FFFFFF" w:themeColor="background1"/>
                                <w:spacing w:val="1"/>
                              </w:rPr>
                              <w:t xml:space="preserve"> </w:t>
                            </w:r>
                            <w:r w:rsidRPr="00B37327">
                              <w:rPr>
                                <w:color w:val="FFFFFF" w:themeColor="background1"/>
                              </w:rPr>
                              <w:t>Ex</w:t>
                            </w:r>
                            <w:r w:rsidRPr="00B37327">
                              <w:rPr>
                                <w:color w:val="FFFFFF" w:themeColor="background1"/>
                                <w:spacing w:val="-2"/>
                              </w:rPr>
                              <w:t>p</w:t>
                            </w:r>
                            <w:r w:rsidRPr="00B37327">
                              <w:rPr>
                                <w:color w:val="FFFFFF" w:themeColor="background1"/>
                              </w:rPr>
                              <w:t>e</w:t>
                            </w:r>
                            <w:r w:rsidRPr="00B37327">
                              <w:rPr>
                                <w:color w:val="FFFFFF" w:themeColor="background1"/>
                                <w:spacing w:val="-2"/>
                              </w:rPr>
                              <w:t>r</w:t>
                            </w:r>
                            <w:r w:rsidRPr="00B37327">
                              <w:rPr>
                                <w:color w:val="FFFFFF" w:themeColor="background1"/>
                              </w:rPr>
                              <w:t>i</w:t>
                            </w:r>
                            <w:r w:rsidRPr="00B37327">
                              <w:rPr>
                                <w:color w:val="FFFFFF" w:themeColor="background1"/>
                                <w:spacing w:val="-3"/>
                              </w:rPr>
                              <w:t>e</w:t>
                            </w:r>
                            <w:r w:rsidRPr="00B37327">
                              <w:rPr>
                                <w:color w:val="FFFFFF" w:themeColor="background1"/>
                                <w:spacing w:val="-2"/>
                              </w:rPr>
                              <w:t>n</w:t>
                            </w:r>
                            <w:r w:rsidRPr="00B37327">
                              <w:rPr>
                                <w:color w:val="FFFFFF" w:themeColor="background1"/>
                              </w:rPr>
                              <w:t>ce</w:t>
                            </w:r>
                            <w:bookmarkEnd w:id="1"/>
                            <w:r>
                              <w:rPr>
                                <w:color w:val="FFFFFF" w:themeColor="background1"/>
                              </w:rPr>
                              <w:t xml:space="preserve"> (Emotional Engagement)</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70.25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" fillcolor="#26a8df" stroked="f">
                <v:stroke joinstyle="miter"/>
                <v:textbox style="mso-fit-shape-to-text:t">
                  <w:txbxContent>
                    <w:p w14:paraId="5C2A0B0F" w14:textId="6460634C" w:rsidR="00E119A5" w:rsidRPr="002B03BC" w:rsidRDefault="00057F68" w:rsidP="00057F68">
                      <w:pPr>
                        <w:pStyle w:val="Heading1"/>
                        <w:spacing w:before="56"/>
                        <w:rPr>
                          <w:color w:val="FFFFFF" w:themeColor="background1"/>
                        </w:rPr>
                      </w:pPr>
                      <w:bookmarkStart w:id="3" w:name="Activities_Linked_To_Student_Experience"/>
                      <w:bookmarkStart w:id="4" w:name="_Toc40898372"/>
                      <w:bookmarkStart w:id="5" w:name="_Toc41638319"/>
                      <w:bookmarkEnd w:id="3"/>
                      <w:r w:rsidRPr="00B37327">
                        <w:rPr>
                          <w:color w:val="FFFFFF" w:themeColor="background1"/>
                          <w:spacing w:val="-6"/>
                        </w:rPr>
                        <w:t>A</w:t>
                      </w:r>
                      <w:r w:rsidRPr="00B37327">
                        <w:rPr>
                          <w:color w:val="FFFFFF" w:themeColor="background1"/>
                          <w:spacing w:val="1"/>
                        </w:rPr>
                        <w:t>c</w:t>
                      </w:r>
                      <w:r w:rsidRPr="00B37327">
                        <w:rPr>
                          <w:color w:val="FFFFFF" w:themeColor="background1"/>
                        </w:rPr>
                        <w:t>ti</w:t>
                      </w:r>
                      <w:r w:rsidRPr="00B37327">
                        <w:rPr>
                          <w:color w:val="FFFFFF" w:themeColor="background1"/>
                          <w:spacing w:val="-3"/>
                        </w:rPr>
                        <w:t>v</w:t>
                      </w:r>
                      <w:r w:rsidRPr="00B37327">
                        <w:rPr>
                          <w:color w:val="FFFFFF" w:themeColor="background1"/>
                        </w:rPr>
                        <w:t xml:space="preserve">ities </w:t>
                      </w:r>
                      <w:r w:rsidRPr="00B37327">
                        <w:rPr>
                          <w:color w:val="FFFFFF" w:themeColor="background1"/>
                          <w:spacing w:val="-2"/>
                        </w:rPr>
                        <w:t>L</w:t>
                      </w:r>
                      <w:r w:rsidRPr="00B37327">
                        <w:rPr>
                          <w:color w:val="FFFFFF" w:themeColor="background1"/>
                        </w:rPr>
                        <w:t>i</w:t>
                      </w:r>
                      <w:r w:rsidRPr="00B37327">
                        <w:rPr>
                          <w:color w:val="FFFFFF" w:themeColor="background1"/>
                          <w:spacing w:val="-2"/>
                        </w:rPr>
                        <w:t>n</w:t>
                      </w:r>
                      <w:r w:rsidRPr="00B37327">
                        <w:rPr>
                          <w:color w:val="FFFFFF" w:themeColor="background1"/>
                        </w:rPr>
                        <w:t>ked</w:t>
                      </w:r>
                      <w:r w:rsidRPr="00B37327">
                        <w:rPr>
                          <w:color w:val="FFFFFF" w:themeColor="background1"/>
                          <w:spacing w:val="-3"/>
                        </w:rPr>
                        <w:t xml:space="preserve"> t</w:t>
                      </w:r>
                      <w:r w:rsidRPr="00B37327">
                        <w:rPr>
                          <w:color w:val="FFFFFF" w:themeColor="background1"/>
                        </w:rPr>
                        <w:t>o</w:t>
                      </w:r>
                      <w:r w:rsidRPr="00B37327">
                        <w:rPr>
                          <w:color w:val="FFFFFF" w:themeColor="background1"/>
                          <w:spacing w:val="-1"/>
                        </w:rPr>
                        <w:t xml:space="preserve"> </w:t>
                      </w:r>
                      <w:r w:rsidRPr="00B37327">
                        <w:rPr>
                          <w:color w:val="FFFFFF" w:themeColor="background1"/>
                        </w:rPr>
                        <w:t>St</w:t>
                      </w:r>
                      <w:r w:rsidRPr="00B37327">
                        <w:rPr>
                          <w:color w:val="FFFFFF" w:themeColor="background1"/>
                          <w:spacing w:val="-2"/>
                        </w:rPr>
                        <w:t>ud</w:t>
                      </w:r>
                      <w:r w:rsidRPr="00B37327">
                        <w:rPr>
                          <w:color w:val="FFFFFF" w:themeColor="background1"/>
                        </w:rPr>
                        <w:t>e</w:t>
                      </w:r>
                      <w:r w:rsidRPr="00B37327">
                        <w:rPr>
                          <w:color w:val="FFFFFF" w:themeColor="background1"/>
                          <w:spacing w:val="-2"/>
                        </w:rPr>
                        <w:t>n</w:t>
                      </w:r>
                      <w:r w:rsidRPr="00B37327">
                        <w:rPr>
                          <w:color w:val="FFFFFF" w:themeColor="background1"/>
                        </w:rPr>
                        <w:t>t</w:t>
                      </w:r>
                      <w:r w:rsidRPr="00B37327">
                        <w:rPr>
                          <w:color w:val="FFFFFF" w:themeColor="background1"/>
                          <w:spacing w:val="1"/>
                        </w:rPr>
                        <w:t xml:space="preserve"> </w:t>
                      </w:r>
                      <w:r w:rsidRPr="00B37327">
                        <w:rPr>
                          <w:color w:val="FFFFFF" w:themeColor="background1"/>
                        </w:rPr>
                        <w:t>Ex</w:t>
                      </w:r>
                      <w:r w:rsidRPr="00B37327">
                        <w:rPr>
                          <w:color w:val="FFFFFF" w:themeColor="background1"/>
                          <w:spacing w:val="-2"/>
                        </w:rPr>
                        <w:t>p</w:t>
                      </w:r>
                      <w:r w:rsidRPr="00B37327">
                        <w:rPr>
                          <w:color w:val="FFFFFF" w:themeColor="background1"/>
                        </w:rPr>
                        <w:t>e</w:t>
                      </w:r>
                      <w:r w:rsidRPr="00B37327">
                        <w:rPr>
                          <w:color w:val="FFFFFF" w:themeColor="background1"/>
                          <w:spacing w:val="-2"/>
                        </w:rPr>
                        <w:t>r</w:t>
                      </w:r>
                      <w:r w:rsidRPr="00B37327">
                        <w:rPr>
                          <w:color w:val="FFFFFF" w:themeColor="background1"/>
                        </w:rPr>
                        <w:t>i</w:t>
                      </w:r>
                      <w:r w:rsidRPr="00B37327">
                        <w:rPr>
                          <w:color w:val="FFFFFF" w:themeColor="background1"/>
                          <w:spacing w:val="-3"/>
                        </w:rPr>
                        <w:t>e</w:t>
                      </w:r>
                      <w:r w:rsidRPr="00B37327">
                        <w:rPr>
                          <w:color w:val="FFFFFF" w:themeColor="background1"/>
                          <w:spacing w:val="-2"/>
                        </w:rPr>
                        <w:t>n</w:t>
                      </w:r>
                      <w:r w:rsidRPr="00B37327">
                        <w:rPr>
                          <w:color w:val="FFFFFF" w:themeColor="background1"/>
                        </w:rPr>
                        <w:t>ce</w:t>
                      </w:r>
                      <w:bookmarkEnd w:id="4"/>
                      <w:r>
                        <w:rPr>
                          <w:color w:val="FFFFFF" w:themeColor="background1"/>
                        </w:rPr>
                        <w:t xml:space="preserve"> (Emotional Engagement)</w:t>
                      </w:r>
                      <w:bookmarkEnd w:id="5"/>
                    </w:p>
                  </w:txbxContent>
                </v:textbox>
                <w10:wrap type="square" anchorx="margin"/>
              </v:roundrect>
            </w:pict>
          </mc:Fallback>
        </mc:AlternateContent>
      </w:r>
    </w:p>
    <w:p w14:paraId="37C58CBC" w14:textId="77777777" w:rsidR="00BE432B" w:rsidRPr="0006132E" w:rsidRDefault="00BE432B" w:rsidP="00BE432B">
      <w:pPr>
        <w:rPr>
          <w:b/>
          <w:bCs/>
        </w:rPr>
      </w:pPr>
      <w:r w:rsidRPr="0006132E">
        <w:rPr>
          <w:b/>
          <w:bCs/>
        </w:rPr>
        <w:t>This means making sure activities take account of students’ diverse backgrounds, experiences, and intentions post-graduation.</w:t>
      </w:r>
    </w:p>
    <w:p w14:paraId="30B4DADE" w14:textId="77777777" w:rsidR="00BE432B" w:rsidRDefault="00BE432B" w:rsidP="00BE432B"/>
    <w:p w14:paraId="253D56EF" w14:textId="77777777" w:rsidR="00BE432B" w:rsidRPr="00444FC9" w:rsidRDefault="00BE432B" w:rsidP="00BE432B">
      <w:pPr>
        <w:rPr>
          <w:b/>
          <w:bCs/>
        </w:rPr>
      </w:pPr>
      <w:r w:rsidRPr="00444FC9">
        <w:rPr>
          <w:b/>
          <w:bCs/>
        </w:rPr>
        <w:t>Overview</w:t>
      </w:r>
    </w:p>
    <w:p w14:paraId="3D3CD1F6" w14:textId="77777777" w:rsidR="00BE432B" w:rsidRPr="009931A3" w:rsidRDefault="00BE432B" w:rsidP="00BE432B">
      <w:r w:rsidRPr="009931A3">
        <w:t>Courses should include content and reflective activities that ensure students can value and relate their extra-curricular experience (e.g. social, cultural, and work- related) to academic and personal development.</w:t>
      </w:r>
    </w:p>
    <w:p w14:paraId="614F9A9D" w14:textId="77777777" w:rsidR="00BE432B" w:rsidRPr="009931A3" w:rsidRDefault="00BE432B" w:rsidP="00BE432B"/>
    <w:p w14:paraId="45EB677B" w14:textId="77777777" w:rsidR="00BE432B" w:rsidRPr="009931A3" w:rsidRDefault="00BE432B" w:rsidP="00BE432B">
      <w:r w:rsidRPr="009931A3">
        <w:t>A course should include opportunities for students to discuss their extra-curricular experiences as part of the learning activities and as part of their assessment. This will help them engage more deeply with their learning experience and students should be provided with opportunities to use appropriate reflective frameworks so that they can incorporate their own experiences into their learning.</w:t>
      </w:r>
    </w:p>
    <w:p w14:paraId="72EDA97B" w14:textId="77777777" w:rsidR="00BE432B" w:rsidRPr="00810684" w:rsidRDefault="00BE432B" w:rsidP="00BE432B">
      <w:pPr>
        <w:pStyle w:val="BodyText"/>
        <w:rPr>
          <w:rFonts w:asciiTheme="minorHAnsi" w:hAnsiTheme="minorHAnsi" w:cstheme="minorHAnsi"/>
        </w:rPr>
      </w:pPr>
    </w:p>
    <w:p w14:paraId="228BBEAF" w14:textId="77777777" w:rsidR="00BE432B" w:rsidRPr="009931A3" w:rsidRDefault="00BE432B" w:rsidP="00BE432B">
      <w:r w:rsidRPr="009931A3">
        <w:t>Courses which link to the student experience empower students to participate actively in the development of learning activities and resources, for example, students could be encouraged to design and lead activities themselves and offer resources for those activities.</w:t>
      </w:r>
    </w:p>
    <w:p w14:paraId="661F01BC" w14:textId="209AE735" w:rsidR="00BE432B" w:rsidRPr="00810684" w:rsidRDefault="00BE432B" w:rsidP="00BE432B">
      <w:pPr>
        <w:pStyle w:val="BodyText"/>
        <w:rPr>
          <w:rFonts w:asciiTheme="minorHAnsi" w:hAnsiTheme="minorHAnsi" w:cstheme="minorHAnsi"/>
        </w:rPr>
      </w:pPr>
      <w:r>
        <w:rPr>
          <w:rFonts w:asciiTheme="minorHAnsi" w:hAnsiTheme="minorHAnsi" w:cstheme="minorHAnsi"/>
          <w:b/>
          <w:bCs/>
          <w:noProof/>
        </w:rPr>
        <w:drawing>
          <wp:anchor distT="0" distB="0" distL="114300" distR="114300" simplePos="0" relativeHeight="251661315" behindDoc="1" locked="0" layoutInCell="1" allowOverlap="1" wp14:anchorId="06C31E94" wp14:editId="2CEFA91F">
            <wp:simplePos x="0" y="0"/>
            <wp:positionH relativeFrom="column">
              <wp:posOffset>-393700</wp:posOffset>
            </wp:positionH>
            <wp:positionV relativeFrom="paragraph">
              <wp:posOffset>243840</wp:posOffset>
            </wp:positionV>
            <wp:extent cx="439200" cy="439200"/>
            <wp:effectExtent l="0" t="0" r="0" b="0"/>
            <wp:wrapNone/>
            <wp:docPr id="198" name="Graphic 19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headwithgears.svg"/>
                    <pic:cNvPicPr/>
                  </pic:nvPicPr>
                  <pic:blipFill>
                    <a:blip r:embed="rId10">
                      <a:extLst>
                        <a:ext uri="{28A0092B-C50C-407E-A947-70E740481C1C}">
                          <a14:useLocalDpi xmlns:a14="http://schemas.microsoft.com/office/drawing/2010/main"/>
                        </a:ext>
                        <a:ext uri="{96DAC541-7B7A-43D3-8B79-37D633B846F1}">
                          <asvg:svgBlip xmlns:asvg="http://schemas.microsoft.com/office/drawing/2016/SVG/main" r:embed="rId11"/>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91" behindDoc="1" locked="0" layoutInCell="1" allowOverlap="1" wp14:anchorId="608F2912" wp14:editId="6F276F9D">
            <wp:simplePos x="0" y="0"/>
            <wp:positionH relativeFrom="rightMargin">
              <wp:posOffset>-6238875</wp:posOffset>
            </wp:positionH>
            <wp:positionV relativeFrom="paragraph">
              <wp:posOffset>1684020</wp:posOffset>
            </wp:positionV>
            <wp:extent cx="439200" cy="439200"/>
            <wp:effectExtent l="0" t="0" r="0" b="0"/>
            <wp:wrapNone/>
            <wp:docPr id="195" name="Graphic 195"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lightbulbandgear.svg"/>
                    <pic:cNvPicPr/>
                  </pic:nvPicPr>
                  <pic:blipFill>
                    <a:blip r:embed="rId12">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56"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3F0"/>
        <w:tblLook w:val="04A0" w:firstRow="1" w:lastRow="0" w:firstColumn="1" w:lastColumn="0" w:noHBand="0" w:noVBand="1"/>
      </w:tblPr>
      <w:tblGrid>
        <w:gridCol w:w="9256"/>
      </w:tblGrid>
      <w:tr w:rsidR="00BE432B" w14:paraId="0185D82E" w14:textId="77777777" w:rsidTr="000371C4">
        <w:tc>
          <w:tcPr>
            <w:tcW w:w="9256" w:type="dxa"/>
            <w:shd w:val="clear" w:color="auto" w:fill="AFD3F0"/>
          </w:tcPr>
          <w:p w14:paraId="4E92720C" w14:textId="77777777" w:rsidR="00BE432B" w:rsidRPr="00444FC9" w:rsidRDefault="00BE432B" w:rsidP="0035584B">
            <w:pPr>
              <w:pStyle w:val="BodyText"/>
              <w:spacing w:before="120" w:after="120"/>
              <w:ind w:left="102"/>
              <w:rPr>
                <w:rFonts w:asciiTheme="minorHAnsi" w:hAnsiTheme="minorHAnsi" w:cstheme="minorHAnsi"/>
                <w:b/>
                <w:bCs/>
              </w:rPr>
            </w:pPr>
            <w:r w:rsidRPr="00444FC9">
              <w:rPr>
                <w:rFonts w:asciiTheme="minorHAnsi" w:hAnsiTheme="minorHAnsi" w:cstheme="minorHAnsi"/>
                <w:b/>
                <w:bCs/>
              </w:rPr>
              <w:t>Co</w:t>
            </w:r>
            <w:r w:rsidRPr="00444FC9">
              <w:rPr>
                <w:rFonts w:asciiTheme="minorHAnsi" w:hAnsiTheme="minorHAnsi" w:cstheme="minorHAnsi"/>
                <w:b/>
                <w:bCs/>
                <w:spacing w:val="1"/>
              </w:rPr>
              <w:t>u</w:t>
            </w:r>
            <w:r w:rsidRPr="00444FC9">
              <w:rPr>
                <w:rFonts w:asciiTheme="minorHAnsi" w:hAnsiTheme="minorHAnsi" w:cstheme="minorHAnsi"/>
                <w:b/>
                <w:bCs/>
              </w:rPr>
              <w:t>rse t</w:t>
            </w:r>
            <w:r w:rsidRPr="00444FC9">
              <w:rPr>
                <w:rFonts w:asciiTheme="minorHAnsi" w:hAnsiTheme="minorHAnsi" w:cstheme="minorHAnsi"/>
                <w:b/>
                <w:bCs/>
                <w:spacing w:val="-1"/>
              </w:rPr>
              <w:t>e</w:t>
            </w:r>
            <w:r w:rsidRPr="00444FC9">
              <w:rPr>
                <w:rFonts w:asciiTheme="minorHAnsi" w:hAnsiTheme="minorHAnsi" w:cstheme="minorHAnsi"/>
                <w:b/>
                <w:bCs/>
              </w:rPr>
              <w:t>a</w:t>
            </w:r>
            <w:r w:rsidRPr="00444FC9">
              <w:rPr>
                <w:rFonts w:asciiTheme="minorHAnsi" w:hAnsiTheme="minorHAnsi" w:cstheme="minorHAnsi"/>
                <w:b/>
                <w:bCs/>
                <w:spacing w:val="1"/>
              </w:rPr>
              <w:t>m</w:t>
            </w:r>
            <w:r w:rsidRPr="00444FC9">
              <w:rPr>
                <w:rFonts w:asciiTheme="minorHAnsi" w:hAnsiTheme="minorHAnsi" w:cstheme="minorHAnsi"/>
                <w:b/>
                <w:bCs/>
              </w:rPr>
              <w:t>s</w:t>
            </w:r>
            <w:r w:rsidRPr="00444FC9">
              <w:rPr>
                <w:rFonts w:asciiTheme="minorHAnsi" w:hAnsiTheme="minorHAnsi" w:cstheme="minorHAnsi"/>
                <w:b/>
                <w:bCs/>
                <w:spacing w:val="-3"/>
              </w:rPr>
              <w:t xml:space="preserve"> </w:t>
            </w:r>
            <w:r w:rsidRPr="00444FC9">
              <w:rPr>
                <w:rFonts w:asciiTheme="minorHAnsi" w:hAnsiTheme="minorHAnsi" w:cstheme="minorHAnsi"/>
                <w:b/>
                <w:bCs/>
              </w:rPr>
              <w:t>c</w:t>
            </w:r>
            <w:r w:rsidRPr="00444FC9">
              <w:rPr>
                <w:rFonts w:asciiTheme="minorHAnsi" w:hAnsiTheme="minorHAnsi" w:cstheme="minorHAnsi"/>
                <w:b/>
                <w:bCs/>
                <w:spacing w:val="1"/>
              </w:rPr>
              <w:t>o</w:t>
            </w:r>
            <w:r w:rsidRPr="00444FC9">
              <w:rPr>
                <w:rFonts w:asciiTheme="minorHAnsi" w:hAnsiTheme="minorHAnsi" w:cstheme="minorHAnsi"/>
                <w:b/>
                <w:bCs/>
              </w:rPr>
              <w:t>u</w:t>
            </w:r>
            <w:r w:rsidRPr="00444FC9">
              <w:rPr>
                <w:rFonts w:asciiTheme="minorHAnsi" w:hAnsiTheme="minorHAnsi" w:cstheme="minorHAnsi"/>
                <w:b/>
                <w:bCs/>
                <w:spacing w:val="-3"/>
              </w:rPr>
              <w:t>l</w:t>
            </w:r>
            <w:r w:rsidRPr="00444FC9">
              <w:rPr>
                <w:rFonts w:asciiTheme="minorHAnsi" w:hAnsiTheme="minorHAnsi" w:cstheme="minorHAnsi"/>
                <w:b/>
                <w:bCs/>
              </w:rPr>
              <w:t xml:space="preserve">d </w:t>
            </w:r>
            <w:r w:rsidRPr="00444FC9">
              <w:rPr>
                <w:rFonts w:asciiTheme="minorHAnsi" w:hAnsiTheme="minorHAnsi" w:cstheme="minorHAnsi"/>
                <w:b/>
                <w:bCs/>
                <w:spacing w:val="1"/>
              </w:rPr>
              <w:t>a</w:t>
            </w:r>
            <w:r w:rsidRPr="00444FC9">
              <w:rPr>
                <w:rFonts w:asciiTheme="minorHAnsi" w:hAnsiTheme="minorHAnsi" w:cstheme="minorHAnsi"/>
                <w:b/>
                <w:bCs/>
                <w:spacing w:val="-3"/>
              </w:rPr>
              <w:t>s</w:t>
            </w:r>
            <w:r w:rsidRPr="00444FC9">
              <w:rPr>
                <w:rFonts w:asciiTheme="minorHAnsi" w:hAnsiTheme="minorHAnsi" w:cstheme="minorHAnsi"/>
                <w:b/>
                <w:bCs/>
              </w:rPr>
              <w:t>k:</w:t>
            </w:r>
          </w:p>
          <w:p w14:paraId="632E0DA6" w14:textId="77777777" w:rsidR="00BE432B" w:rsidRPr="00EF68BB" w:rsidRDefault="00BE432B" w:rsidP="0035584B">
            <w:pPr>
              <w:pStyle w:val="Bulleted"/>
              <w:ind w:left="641"/>
            </w:pPr>
            <w:r w:rsidRPr="6C76CA6C">
              <w:t xml:space="preserve">How do students </w:t>
            </w:r>
            <w:r w:rsidRPr="00994294">
              <w:t xml:space="preserve">use </w:t>
            </w:r>
            <w:r w:rsidRPr="00994294">
              <w:rPr>
                <w:b/>
                <w:color w:val="000000" w:themeColor="text1"/>
              </w:rPr>
              <w:t>their own experiences</w:t>
            </w:r>
            <w:r w:rsidRPr="002F27D8">
              <w:rPr>
                <w:color w:val="000000" w:themeColor="text1"/>
              </w:rPr>
              <w:t xml:space="preserve"> </w:t>
            </w:r>
            <w:r w:rsidRPr="6C76CA6C">
              <w:t>in the University and in their extracurricular life to strengthen their professional and personal development? And how do you scaffold and promote this learning on your course?</w:t>
            </w:r>
          </w:p>
          <w:p w14:paraId="78CE8A98" w14:textId="77777777" w:rsidR="00BE432B" w:rsidRPr="00EF68BB" w:rsidRDefault="00BE432B" w:rsidP="0035584B">
            <w:pPr>
              <w:pStyle w:val="Bulleted"/>
              <w:ind w:left="641"/>
            </w:pPr>
            <w:r>
              <w:t xml:space="preserve">How does our </w:t>
            </w:r>
            <w:r w:rsidRPr="099EA3BA">
              <w:rPr>
                <w:b/>
                <w:bCs/>
              </w:rPr>
              <w:t xml:space="preserve">course </w:t>
            </w:r>
            <w:hyperlink r:id="rId14">
              <w:r w:rsidRPr="099EA3BA">
                <w:rPr>
                  <w:rStyle w:val="Hyperlink"/>
                  <w:b/>
                  <w:bCs/>
                  <w:color w:val="auto"/>
                </w:rPr>
                <w:t>induction</w:t>
              </w:r>
            </w:hyperlink>
            <w:r>
              <w:t xml:space="preserve"> (and “re-induction” or refreshers at higher levels) help value the students’ own experiences? Using ice-breaker activities in </w:t>
            </w:r>
            <w:hyperlink r:id="rId15">
              <w:r w:rsidRPr="099EA3BA">
                <w:rPr>
                  <w:rStyle w:val="Hyperlink"/>
                </w:rPr>
                <w:t>MyBeckett</w:t>
              </w:r>
            </w:hyperlink>
            <w:r>
              <w:t xml:space="preserve"> or live sessions through </w:t>
            </w:r>
            <w:hyperlink r:id="rId16">
              <w:r w:rsidRPr="099EA3BA">
                <w:rPr>
                  <w:rStyle w:val="Hyperlink"/>
                </w:rPr>
                <w:t>MS Teams</w:t>
              </w:r>
            </w:hyperlink>
            <w:r>
              <w:t xml:space="preserve"> can facilitate discussion and highlight the diversity in a cohort. Doing this through a discussion board may help support students who are new or unsure when speaking in a peer group.</w:t>
            </w:r>
          </w:p>
          <w:p w14:paraId="26A7DBA3" w14:textId="77777777" w:rsidR="00BE432B" w:rsidRDefault="00BE432B" w:rsidP="0035584B">
            <w:pPr>
              <w:pStyle w:val="Bulleted"/>
              <w:ind w:left="641"/>
            </w:pPr>
            <w:r w:rsidRPr="6C76CA6C">
              <w:t xml:space="preserve">Are there engaging assessments for all learning environments that allow our students to </w:t>
            </w:r>
            <w:r w:rsidRPr="002F27D8">
              <w:rPr>
                <w:b/>
                <w:bCs/>
              </w:rPr>
              <w:t>draw on and develop relevant experience</w:t>
            </w:r>
            <w:r w:rsidRPr="6C76CA6C">
              <w:t>?</w:t>
            </w:r>
          </w:p>
          <w:p w14:paraId="10A1BDC8" w14:textId="77777777" w:rsidR="00BE432B" w:rsidRPr="00EF68BB" w:rsidRDefault="00BE432B" w:rsidP="0035584B">
            <w:pPr>
              <w:pStyle w:val="Bulleted"/>
              <w:numPr>
                <w:ilvl w:val="0"/>
                <w:numId w:val="0"/>
              </w:numPr>
              <w:ind w:left="284"/>
            </w:pPr>
          </w:p>
          <w:p w14:paraId="27FA52A9" w14:textId="77777777" w:rsidR="00BE432B" w:rsidRPr="00EF68BB" w:rsidRDefault="00BE432B" w:rsidP="00BE432B">
            <w:pPr>
              <w:pStyle w:val="Bulleted"/>
              <w:keepLines/>
              <w:numPr>
                <w:ilvl w:val="0"/>
                <w:numId w:val="2"/>
              </w:numPr>
              <w:spacing w:before="360"/>
            </w:pPr>
            <w:r>
              <w:lastRenderedPageBreak/>
              <w:t xml:space="preserve">How can tutors generate an environment where </w:t>
            </w:r>
            <w:r w:rsidRPr="099EA3BA">
              <w:rPr>
                <w:b/>
                <w:bCs/>
              </w:rPr>
              <w:t>students feel encouraged to share experiences</w:t>
            </w:r>
            <w:r>
              <w:t xml:space="preserve">? What practical opportunities do we have in our courses to ensure that students respect and value their student peers’ experiences and learn from them too? What techniques or strategies could we use to manage this? </w:t>
            </w:r>
            <w:r>
              <w:br/>
            </w:r>
            <w:r>
              <w:br/>
              <w:t xml:space="preserve">Using </w:t>
            </w:r>
            <w:r w:rsidRPr="099EA3BA">
              <w:rPr>
                <w:b/>
                <w:bCs/>
              </w:rPr>
              <w:t>discussion boards</w:t>
            </w:r>
            <w:r>
              <w:t xml:space="preserve">, or a channel in </w:t>
            </w:r>
            <w:hyperlink r:id="rId17">
              <w:r w:rsidRPr="099EA3BA">
                <w:rPr>
                  <w:rStyle w:val="Hyperlink"/>
                </w:rPr>
                <w:t>MS teams</w:t>
              </w:r>
            </w:hyperlink>
            <w:r>
              <w:t>, can support students to positively engage w</w:t>
            </w:r>
            <w:bookmarkStart w:id="3" w:name="_GoBack"/>
            <w:bookmarkEnd w:id="3"/>
            <w:r>
              <w:t xml:space="preserve">ith peers. </w:t>
            </w:r>
            <w:r>
              <w:br/>
            </w:r>
            <w:r>
              <w:br/>
            </w:r>
            <w:hyperlink r:id="rId18">
              <w:proofErr w:type="spellStart"/>
              <w:r w:rsidRPr="099EA3BA">
                <w:rPr>
                  <w:rStyle w:val="Hyperlink"/>
                  <w:b/>
                  <w:bCs/>
                </w:rPr>
                <w:t>PollEverywhere</w:t>
              </w:r>
              <w:proofErr w:type="spellEnd"/>
            </w:hyperlink>
            <w:r>
              <w:t xml:space="preserve"> can be used anonymously and may support students to share when they are not directly identifiable by their peers. </w:t>
            </w:r>
            <w:r>
              <w:br/>
            </w:r>
            <w:r>
              <w:br/>
              <w:t xml:space="preserve">The </w:t>
            </w:r>
            <w:hyperlink r:id="rId19">
              <w:r w:rsidRPr="099EA3BA">
                <w:rPr>
                  <w:rStyle w:val="Hyperlink"/>
                  <w:b/>
                  <w:bCs/>
                </w:rPr>
                <w:t>peer assessment</w:t>
              </w:r>
            </w:hyperlink>
            <w:r>
              <w:t xml:space="preserve"> option in </w:t>
            </w:r>
            <w:hyperlink r:id="rId20">
              <w:r w:rsidRPr="099EA3BA">
                <w:rPr>
                  <w:rStyle w:val="Hyperlink"/>
                </w:rPr>
                <w:t>MyBeckett</w:t>
              </w:r>
            </w:hyperlink>
            <w:r>
              <w:t xml:space="preserve"> can allow students to submit work but mark and feedback on their peers in a controlled environment.</w:t>
            </w:r>
          </w:p>
          <w:p w14:paraId="4941EF4A" w14:textId="77777777" w:rsidR="00BE432B" w:rsidRDefault="00BE432B" w:rsidP="0035584B">
            <w:pPr>
              <w:pStyle w:val="Bulleted"/>
              <w:keepLines/>
              <w:numPr>
                <w:ilvl w:val="0"/>
                <w:numId w:val="0"/>
              </w:numPr>
              <w:ind w:left="641"/>
              <w:rPr>
                <w:rFonts w:cstheme="minorHAnsi"/>
              </w:rPr>
            </w:pPr>
          </w:p>
        </w:tc>
      </w:tr>
    </w:tbl>
    <w:p w14:paraId="778560EC" w14:textId="71A4B0B2" w:rsidR="00E119A5" w:rsidRPr="00133FCB" w:rsidRDefault="00BA66D3" w:rsidP="00E119A5">
      <w:pPr>
        <w:spacing w:before="16" w:line="260" w:lineRule="exact"/>
        <w:rPr>
          <w:sz w:val="26"/>
          <w:szCs w:val="26"/>
        </w:rPr>
      </w:pPr>
      <w:r>
        <w:rPr>
          <w:noProof/>
        </w:rPr>
        <w:lastRenderedPageBreak/>
        <w:drawing>
          <wp:anchor distT="0" distB="0" distL="114300" distR="114300" simplePos="0" relativeHeight="251663363" behindDoc="1" locked="0" layoutInCell="1" allowOverlap="1" wp14:anchorId="188B17FE" wp14:editId="081BF9ED">
            <wp:simplePos x="0" y="0"/>
            <wp:positionH relativeFrom="rightMargin">
              <wp:posOffset>-6170295</wp:posOffset>
            </wp:positionH>
            <wp:positionV relativeFrom="page">
              <wp:posOffset>1724025</wp:posOffset>
            </wp:positionV>
            <wp:extent cx="438785" cy="438785"/>
            <wp:effectExtent l="0" t="0" r="0" b="0"/>
            <wp:wrapNone/>
            <wp:docPr id="1" name="Graphic 1"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lightbulbandgear.svg"/>
                    <pic:cNvPicPr/>
                  </pic:nvPicPr>
                  <pic:blipFill>
                    <a:blip r:embed="rId12">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00E119A5">
        <w:rPr>
          <w:noProof/>
        </w:rPr>
        <w:drawing>
          <wp:anchor distT="0" distB="0" distL="114300" distR="114300" simplePos="0" relativeHeight="251658243" behindDoc="1" locked="0" layoutInCell="1" allowOverlap="1" wp14:anchorId="1BA18FCA" wp14:editId="2015F155">
            <wp:simplePos x="0" y="0"/>
            <wp:positionH relativeFrom="leftMargin">
              <wp:align>right</wp:align>
            </wp:positionH>
            <wp:positionV relativeFrom="paragraph">
              <wp:posOffset>-4918710</wp:posOffset>
            </wp:positionV>
            <wp:extent cx="439200" cy="439200"/>
            <wp:effectExtent l="0" t="0" r="0" b="0"/>
            <wp:wrapNone/>
            <wp:docPr id="193" name="Graphic 193"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andgear.svg"/>
                    <pic:cNvPicPr/>
                  </pic:nvPicPr>
                  <pic:blipFill>
                    <a:blip r:embed="rId12">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sidR="00E119A5">
        <w:rPr>
          <w:noProof/>
        </w:rPr>
        <w:drawing>
          <wp:anchor distT="0" distB="0" distL="114300" distR="114300" simplePos="0" relativeHeight="251658242" behindDoc="1" locked="0" layoutInCell="1" allowOverlap="1" wp14:anchorId="04D7FF28" wp14:editId="6D645AA0">
            <wp:simplePos x="0" y="0"/>
            <wp:positionH relativeFrom="leftMargin">
              <wp:align>right</wp:align>
            </wp:positionH>
            <wp:positionV relativeFrom="paragraph">
              <wp:posOffset>-6454140</wp:posOffset>
            </wp:positionV>
            <wp:extent cx="439200" cy="439200"/>
            <wp:effectExtent l="0" t="0" r="0" b="0"/>
            <wp:wrapNone/>
            <wp:docPr id="192" name="Graphic 192"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headwithgears.svg"/>
                    <pic:cNvPicPr/>
                  </pic:nvPicPr>
                  <pic:blipFill>
                    <a:blip r:embed="rId12">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p w14:paraId="52E43C70" w14:textId="731BE441" w:rsidR="00E119A5" w:rsidRDefault="00E119A5" w:rsidP="00E119A5">
      <w:pPr>
        <w:keepNext/>
        <w:spacing w:before="16"/>
        <w:rPr>
          <w:rFonts w:cstheme="minorHAnsi"/>
          <w:b/>
          <w:bCs/>
          <w:szCs w:val="24"/>
        </w:rPr>
      </w:pPr>
      <w:r w:rsidRPr="00515521">
        <w:rPr>
          <w:rFonts w:cstheme="minorHAnsi"/>
          <w:b/>
          <w:bCs/>
          <w:szCs w:val="24"/>
        </w:rPr>
        <w:t>References</w:t>
      </w:r>
    </w:p>
    <w:p w14:paraId="10107EB6" w14:textId="77777777" w:rsidR="002C0D82" w:rsidRPr="00515521" w:rsidRDefault="002C0D82" w:rsidP="00E119A5">
      <w:pPr>
        <w:keepNext/>
        <w:spacing w:before="16"/>
        <w:rPr>
          <w:rFonts w:cstheme="minorHAnsi"/>
          <w:b/>
          <w:bCs/>
          <w:szCs w:val="24"/>
        </w:rPr>
      </w:pPr>
    </w:p>
    <w:p w14:paraId="3871249A" w14:textId="7C5798A7" w:rsidR="00F72FC8" w:rsidRDefault="00880B2C" w:rsidP="00415926">
      <w:pPr>
        <w:pBdr>
          <w:top w:val="single" w:sz="4" w:space="1" w:color="auto"/>
          <w:left w:val="single" w:sz="4" w:space="4" w:color="auto"/>
          <w:bottom w:val="single" w:sz="4" w:space="1" w:color="auto"/>
          <w:right w:val="single" w:sz="4" w:space="17" w:color="auto"/>
        </w:pBdr>
      </w:pPr>
      <w:r w:rsidRPr="00E93374">
        <w:rPr>
          <w:rFonts w:cstheme="minorHAnsi"/>
          <w:szCs w:val="24"/>
        </w:rPr>
        <w:t xml:space="preserve">References and further reading for this section can be found in the </w:t>
      </w:r>
      <w:hyperlink r:id="rId21" w:anchor="CDA7376C-F603-5C17-1BF6-4B77964A5B1F" w:history="1">
        <w:r w:rsidRPr="00515521">
          <w:rPr>
            <w:rStyle w:val="Hyperlink"/>
            <w:rFonts w:cstheme="minorHAnsi"/>
            <w:szCs w:val="24"/>
          </w:rPr>
          <w:t>Activities Linked to Student Experience</w:t>
        </w:r>
      </w:hyperlink>
      <w:r>
        <w:rPr>
          <w:rStyle w:val="Hyperlink"/>
          <w:rFonts w:cstheme="minorHAnsi"/>
          <w:szCs w:val="24"/>
        </w:rPr>
        <w:t xml:space="preserve"> </w:t>
      </w:r>
      <w:r w:rsidRPr="00E93374">
        <w:rPr>
          <w:rFonts w:cstheme="minorHAnsi"/>
          <w:szCs w:val="24"/>
        </w:rPr>
        <w:t xml:space="preserve">section of the </w:t>
      </w:r>
      <w:hyperlink r:id="rId22" w:history="1">
        <w:r w:rsidRPr="00951D38">
          <w:rPr>
            <w:rStyle w:val="Hyperlink"/>
            <w:rFonts w:cstheme="minorHAnsi"/>
            <w:szCs w:val="24"/>
          </w:rPr>
          <w:t>Course Development Principles reading list</w:t>
        </w:r>
      </w:hyperlink>
      <w:r w:rsidRPr="00E93374">
        <w:rPr>
          <w:rFonts w:cstheme="minorHAnsi"/>
          <w:szCs w:val="24"/>
        </w:rPr>
        <w:t xml:space="preserve"> on </w:t>
      </w:r>
      <w:proofErr w:type="spellStart"/>
      <w:r w:rsidRPr="00E93374">
        <w:rPr>
          <w:rFonts w:cstheme="minorHAnsi"/>
          <w:szCs w:val="24"/>
        </w:rPr>
        <w:t>Talis</w:t>
      </w:r>
      <w:proofErr w:type="spellEnd"/>
      <w:r w:rsidRPr="00E93374">
        <w:rPr>
          <w:rFonts w:cstheme="minorHAnsi"/>
          <w:szCs w:val="24"/>
        </w:rPr>
        <w:t xml:space="preserve"> </w:t>
      </w:r>
      <w:r>
        <w:rPr>
          <w:rFonts w:cstheme="minorHAnsi"/>
          <w:szCs w:val="24"/>
        </w:rPr>
        <w:t>Aspire</w:t>
      </w:r>
      <w:r w:rsidRPr="0093158F">
        <w:t>.</w:t>
      </w:r>
    </w:p>
    <w:sectPr w:rsidR="00F72FC8" w:rsidSect="00AA5872">
      <w:footerReference w:type="default" r:id="rId2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906C8" w14:textId="77777777" w:rsidR="004F7DD3" w:rsidRDefault="004F7DD3" w:rsidP="00AA5872">
      <w:pPr>
        <w:spacing w:line="240" w:lineRule="auto"/>
      </w:pPr>
      <w:r>
        <w:separator/>
      </w:r>
    </w:p>
  </w:endnote>
  <w:endnote w:type="continuationSeparator" w:id="0">
    <w:p w14:paraId="4AB8ED77" w14:textId="77777777" w:rsidR="004F7DD3" w:rsidRDefault="004F7DD3" w:rsidP="00AA5872">
      <w:pPr>
        <w:spacing w:line="240" w:lineRule="auto"/>
      </w:pPr>
      <w:r>
        <w:continuationSeparator/>
      </w:r>
    </w:p>
  </w:endnote>
  <w:endnote w:type="continuationNotice" w:id="1">
    <w:p w14:paraId="0A2BD744" w14:textId="77777777" w:rsidR="004F7DD3" w:rsidRDefault="004F7D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E21C24" w:rsidRPr="001205D2" w14:paraId="6410826D" w14:textId="77777777" w:rsidTr="0035584B">
      <w:tc>
        <w:tcPr>
          <w:tcW w:w="7792" w:type="dxa"/>
          <w:vAlign w:val="center"/>
        </w:tcPr>
        <w:p w14:paraId="0EDB5188" w14:textId="3AA30E27" w:rsidR="00E21C24" w:rsidRPr="001205D2" w:rsidRDefault="00E21C24" w:rsidP="00E21C24">
          <w:pPr>
            <w:pStyle w:val="Footer"/>
            <w:tabs>
              <w:tab w:val="clear" w:pos="4513"/>
              <w:tab w:val="center" w:pos="4536"/>
            </w:tabs>
            <w:rPr>
              <w:sz w:val="18"/>
              <w:szCs w:val="18"/>
            </w:rPr>
          </w:pPr>
          <w:r w:rsidRPr="001205D2">
            <w:rPr>
              <w:noProof/>
              <w:sz w:val="18"/>
              <w:szCs w:val="18"/>
            </w:rPr>
            <w:drawing>
              <wp:inline distT="0" distB="0" distL="0" distR="0" wp14:anchorId="68687892" wp14:editId="0AE6653D">
                <wp:extent cx="1314450" cy="348782"/>
                <wp:effectExtent l="0" t="0" r="0" b="1905"/>
                <wp:docPr id="65" name="Picture 65"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0371C4">
            <w:rPr>
              <w:noProof/>
              <w:sz w:val="18"/>
              <w:szCs w:val="18"/>
            </w:rPr>
            <w:t>UG_Activities_Linked_to_Student_Experience v1 Dec 2020.docx</w:t>
          </w:r>
          <w:r w:rsidRPr="001205D2">
            <w:rPr>
              <w:sz w:val="18"/>
              <w:szCs w:val="18"/>
            </w:rPr>
            <w:fldChar w:fldCharType="end"/>
          </w:r>
        </w:p>
      </w:tc>
      <w:tc>
        <w:tcPr>
          <w:tcW w:w="1559" w:type="dxa"/>
          <w:vAlign w:val="center"/>
        </w:tcPr>
        <w:p w14:paraId="0ED387E1" w14:textId="77777777" w:rsidR="00E21C24" w:rsidRPr="001205D2" w:rsidRDefault="00E21C24" w:rsidP="00E21C24">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2CD8" w14:textId="77777777" w:rsidR="004F7DD3" w:rsidRDefault="004F7DD3" w:rsidP="00AA5872">
      <w:pPr>
        <w:spacing w:line="240" w:lineRule="auto"/>
      </w:pPr>
      <w:r>
        <w:separator/>
      </w:r>
    </w:p>
  </w:footnote>
  <w:footnote w:type="continuationSeparator" w:id="0">
    <w:p w14:paraId="513597C0" w14:textId="77777777" w:rsidR="004F7DD3" w:rsidRDefault="004F7DD3" w:rsidP="00AA5872">
      <w:pPr>
        <w:spacing w:line="240" w:lineRule="auto"/>
      </w:pPr>
      <w:r>
        <w:continuationSeparator/>
      </w:r>
    </w:p>
  </w:footnote>
  <w:footnote w:type="continuationNotice" w:id="1">
    <w:p w14:paraId="25FA270B" w14:textId="77777777" w:rsidR="004F7DD3" w:rsidRDefault="004F7DD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911"/>
    <w:multiLevelType w:val="hybridMultilevel"/>
    <w:tmpl w:val="BF50E266"/>
    <w:lvl w:ilvl="0" w:tplc="144610E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afd3f9,white,#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335D8"/>
    <w:rsid w:val="00033BDD"/>
    <w:rsid w:val="000371C4"/>
    <w:rsid w:val="00057F68"/>
    <w:rsid w:val="000757E8"/>
    <w:rsid w:val="000916C7"/>
    <w:rsid w:val="001205D2"/>
    <w:rsid w:val="00146466"/>
    <w:rsid w:val="001F6346"/>
    <w:rsid w:val="002048D9"/>
    <w:rsid w:val="002B5B59"/>
    <w:rsid w:val="002C0D82"/>
    <w:rsid w:val="002F0D1F"/>
    <w:rsid w:val="003650C4"/>
    <w:rsid w:val="003853C9"/>
    <w:rsid w:val="00415926"/>
    <w:rsid w:val="0043191E"/>
    <w:rsid w:val="004F7DD3"/>
    <w:rsid w:val="0068446B"/>
    <w:rsid w:val="006F6699"/>
    <w:rsid w:val="00880B2C"/>
    <w:rsid w:val="008D50F4"/>
    <w:rsid w:val="0091223A"/>
    <w:rsid w:val="00927289"/>
    <w:rsid w:val="009D6F6C"/>
    <w:rsid w:val="00A96853"/>
    <w:rsid w:val="00AA5872"/>
    <w:rsid w:val="00AC4CCC"/>
    <w:rsid w:val="00BA66D3"/>
    <w:rsid w:val="00BB2DE0"/>
    <w:rsid w:val="00BE432B"/>
    <w:rsid w:val="00C507B7"/>
    <w:rsid w:val="00C73180"/>
    <w:rsid w:val="00C94E99"/>
    <w:rsid w:val="00CA25B5"/>
    <w:rsid w:val="00CE6220"/>
    <w:rsid w:val="00D2201F"/>
    <w:rsid w:val="00DC2DDB"/>
    <w:rsid w:val="00E119A5"/>
    <w:rsid w:val="00E21C24"/>
    <w:rsid w:val="00E31542"/>
    <w:rsid w:val="00E6514F"/>
    <w:rsid w:val="00E70C25"/>
    <w:rsid w:val="00EE6675"/>
    <w:rsid w:val="00F25755"/>
    <w:rsid w:val="00F72FC8"/>
    <w:rsid w:val="00F870F1"/>
    <w:rsid w:val="00FA7497"/>
    <w:rsid w:val="00FE2D52"/>
    <w:rsid w:val="00FE7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fd3f9,white,#ccecff"/>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D5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 w:type="character" w:customStyle="1" w:styleId="Heading2Char">
    <w:name w:val="Heading 2 Char"/>
    <w:basedOn w:val="DefaultParagraphFont"/>
    <w:link w:val="Heading2"/>
    <w:uiPriority w:val="9"/>
    <w:semiHidden/>
    <w:rsid w:val="008D50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yperlink" Target="https://teachlearn.leedsbeckett.ac.uk/guides/third-party-software-and-apps/polleverywhere/" TargetMode="External"/><Relationship Id="rId3" Type="http://schemas.openxmlformats.org/officeDocument/2006/relationships/customXml" Target="../customXml/item3.xml"/><Relationship Id="rId21" Type="http://schemas.openxmlformats.org/officeDocument/2006/relationships/hyperlink" Target="https://rl.talis.com/3/beckett/lists/086BF37E-85D6-9E4A-D3A6-B7EA51D08C98.html?lang=en-US&amp;login=1"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eachlearn.leedsbeckett.ac.uk/guides/mybeckett-and-digital-learning-guides/microsoft-te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chlearn.leedsbeckett.ac.uk/guides/mybeckett-and-digital-learning-guides/microsoft-teams/" TargetMode="External"/><Relationship Id="rId20" Type="http://schemas.openxmlformats.org/officeDocument/2006/relationships/hyperlink" Target="https://my.leedsbeckett.ac.uk/webapps/log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y.leedsbeckett.ac.uk/webapps/login/"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teachlearn.leedsbeckett.ac.uk/guides/mybeckett-and-digital-learning-guides/mybeckett/self-and-peer-assess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learn.leedsbeckett.ac.uk/teaching-and-learning/inclusive-practice/inclusive-induction/" TargetMode="External"/><Relationship Id="rId22" Type="http://schemas.openxmlformats.org/officeDocument/2006/relationships/hyperlink" Target="https://beckett.rl.talis.com/lists/086BF37E-85D6-9E4A-D3A6-B7EA51D08C98.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60BE5-404A-4CF2-8035-6EC6D0452630}">
  <ds:schemaRefs>
    <ds:schemaRef ds:uri="http://schemas.microsoft.com/sharepoint/v3/contenttype/forms"/>
  </ds:schemaRefs>
</ds:datastoreItem>
</file>

<file path=customXml/itemProps2.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FE493-C879-4E06-BFFE-3F9897C86D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16</cp:revision>
  <dcterms:created xsi:type="dcterms:W3CDTF">2020-12-04T15:24:00Z</dcterms:created>
  <dcterms:modified xsi:type="dcterms:W3CDTF">2020-12-07T11:30:00Z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