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2AF6" w14:textId="77777777" w:rsidR="008308A1" w:rsidRPr="001F4177" w:rsidRDefault="008308A1" w:rsidP="008308A1">
      <w:pPr>
        <w:pStyle w:val="Heading1"/>
        <w:rPr>
          <w:rFonts w:eastAsia="Times New Roman" w:cstheme="majorHAnsi"/>
          <w:lang w:eastAsia="en-GB"/>
        </w:rPr>
      </w:pPr>
      <w:r w:rsidRPr="001F4177">
        <w:rPr>
          <w:rFonts w:eastAsia="Times New Roman" w:cstheme="majorHAnsi"/>
          <w:lang w:eastAsia="en-GB"/>
        </w:rPr>
        <w:t xml:space="preserve">Leeds Beckett: The Six Principles of Hybrid Teaching and Learning </w:t>
      </w:r>
    </w:p>
    <w:p w14:paraId="6405BEF6" w14:textId="5545CE8B" w:rsidR="00C215C1" w:rsidRPr="00055629" w:rsidRDefault="00C215C1" w:rsidP="00055629">
      <w:pPr>
        <w:pStyle w:val="CommentText"/>
        <w:jc w:val="both"/>
        <w:rPr>
          <w:rFonts w:asciiTheme="majorHAnsi" w:hAnsiTheme="majorHAnsi" w:cstheme="majorHAnsi"/>
          <w:sz w:val="22"/>
        </w:rPr>
      </w:pPr>
    </w:p>
    <w:p w14:paraId="721194BE" w14:textId="43196CCF" w:rsidR="00C215C1" w:rsidRPr="00055629" w:rsidRDefault="00C215C1" w:rsidP="00055629">
      <w:pPr>
        <w:pStyle w:val="CommentText"/>
        <w:jc w:val="both"/>
        <w:rPr>
          <w:rFonts w:asciiTheme="majorHAnsi" w:hAnsiTheme="majorHAnsi" w:cstheme="majorHAnsi"/>
          <w:sz w:val="22"/>
          <w:szCs w:val="22"/>
        </w:rPr>
      </w:pPr>
      <w:r w:rsidRPr="00055629">
        <w:rPr>
          <w:rFonts w:asciiTheme="majorHAnsi" w:hAnsiTheme="majorHAnsi" w:cstheme="majorHAnsi"/>
          <w:sz w:val="22"/>
          <w:szCs w:val="22"/>
        </w:rPr>
        <w:t>Hybrid</w:t>
      </w:r>
      <w:r w:rsidR="00AA78A2">
        <w:rPr>
          <w:rFonts w:asciiTheme="majorHAnsi" w:hAnsiTheme="majorHAnsi" w:cstheme="majorHAnsi"/>
          <w:sz w:val="22"/>
          <w:szCs w:val="22"/>
        </w:rPr>
        <w:t xml:space="preserve"> (also known as </w:t>
      </w:r>
      <w:proofErr w:type="spellStart"/>
      <w:r w:rsidR="00AA78A2">
        <w:rPr>
          <w:rFonts w:asciiTheme="majorHAnsi" w:hAnsiTheme="majorHAnsi" w:cstheme="majorHAnsi"/>
          <w:sz w:val="22"/>
          <w:szCs w:val="22"/>
        </w:rPr>
        <w:t>hyflex</w:t>
      </w:r>
      <w:proofErr w:type="spellEnd"/>
      <w:r w:rsidR="00AA78A2">
        <w:rPr>
          <w:rFonts w:asciiTheme="majorHAnsi" w:hAnsiTheme="majorHAnsi" w:cstheme="majorHAnsi"/>
          <w:sz w:val="22"/>
          <w:szCs w:val="22"/>
        </w:rPr>
        <w:t>)</w:t>
      </w:r>
      <w:r w:rsidRPr="00055629">
        <w:rPr>
          <w:rFonts w:asciiTheme="majorHAnsi" w:hAnsiTheme="majorHAnsi" w:cstheme="majorHAnsi"/>
          <w:sz w:val="22"/>
          <w:szCs w:val="22"/>
        </w:rPr>
        <w:t xml:space="preserve"> teaching and learning</w:t>
      </w:r>
      <w:r w:rsidR="00E5057C" w:rsidRPr="00055629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 xml:space="preserve"> describes any scenario where </w:t>
      </w:r>
      <w:r w:rsidR="006B3D7A" w:rsidRPr="00055629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a</w:t>
      </w:r>
      <w:r w:rsidR="00A05356" w:rsidRPr="00055629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n activity takes</w:t>
      </w:r>
      <w:r w:rsidR="00E5057C" w:rsidRPr="00055629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 xml:space="preserve"> place at the same time for students who are physically present in the classroom with the tutor, and for students who join the class remotely via </w:t>
      </w:r>
      <w:r w:rsidR="00A05356" w:rsidRPr="00055629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an online platform such as Blackboard Collaborate/MS Teams</w:t>
      </w:r>
      <w:r w:rsidR="006518A8" w:rsidRPr="00055629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.</w:t>
      </w:r>
    </w:p>
    <w:p w14:paraId="2866F212" w14:textId="084BA306" w:rsidR="00D06CAE" w:rsidRPr="00055629" w:rsidRDefault="001E1804" w:rsidP="00055629">
      <w:pPr>
        <w:pStyle w:val="CommentText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This </w:t>
      </w:r>
      <w:r w:rsidR="00B045B7">
        <w:rPr>
          <w:rFonts w:asciiTheme="majorHAnsi" w:hAnsiTheme="majorHAnsi" w:cstheme="majorHAnsi"/>
          <w:sz w:val="22"/>
        </w:rPr>
        <w:t xml:space="preserve">staff </w:t>
      </w:r>
      <w:r>
        <w:rPr>
          <w:rFonts w:asciiTheme="majorHAnsi" w:hAnsiTheme="majorHAnsi" w:cstheme="majorHAnsi"/>
          <w:sz w:val="22"/>
        </w:rPr>
        <w:t xml:space="preserve">guidance aims </w:t>
      </w:r>
      <w:r w:rsidR="007F4F55" w:rsidRPr="00055629">
        <w:rPr>
          <w:rFonts w:asciiTheme="majorHAnsi" w:hAnsiTheme="majorHAnsi" w:cstheme="majorHAnsi"/>
          <w:sz w:val="22"/>
        </w:rPr>
        <w:t xml:space="preserve">to </w:t>
      </w:r>
      <w:r w:rsidR="00D06CAE" w:rsidRPr="00055629">
        <w:rPr>
          <w:rFonts w:asciiTheme="majorHAnsi" w:hAnsiTheme="majorHAnsi" w:cstheme="majorHAnsi"/>
          <w:sz w:val="22"/>
        </w:rPr>
        <w:t>support thinking about maximising the learning experience</w:t>
      </w:r>
      <w:r w:rsidR="00B045B7">
        <w:rPr>
          <w:rFonts w:asciiTheme="majorHAnsi" w:hAnsiTheme="majorHAnsi" w:cstheme="majorHAnsi"/>
          <w:sz w:val="22"/>
        </w:rPr>
        <w:t>s</w:t>
      </w:r>
      <w:r w:rsidR="00D06CAE" w:rsidRPr="00055629">
        <w:rPr>
          <w:rFonts w:asciiTheme="majorHAnsi" w:hAnsiTheme="majorHAnsi" w:cstheme="majorHAnsi"/>
          <w:sz w:val="22"/>
        </w:rPr>
        <w:t xml:space="preserve"> </w:t>
      </w:r>
      <w:r w:rsidR="00B045B7">
        <w:rPr>
          <w:rFonts w:asciiTheme="majorHAnsi" w:hAnsiTheme="majorHAnsi" w:cstheme="majorHAnsi"/>
          <w:sz w:val="22"/>
        </w:rPr>
        <w:t>of</w:t>
      </w:r>
      <w:r w:rsidR="00D06CAE" w:rsidRPr="00055629">
        <w:rPr>
          <w:rFonts w:asciiTheme="majorHAnsi" w:hAnsiTheme="majorHAnsi" w:cstheme="majorHAnsi"/>
          <w:sz w:val="22"/>
        </w:rPr>
        <w:t xml:space="preserve"> </w:t>
      </w:r>
      <w:r w:rsidR="00CE241D">
        <w:rPr>
          <w:rFonts w:asciiTheme="majorHAnsi" w:hAnsiTheme="majorHAnsi" w:cstheme="majorHAnsi"/>
          <w:sz w:val="22"/>
        </w:rPr>
        <w:t xml:space="preserve">the </w:t>
      </w:r>
      <w:r w:rsidR="00D06CAE" w:rsidRPr="00055629">
        <w:rPr>
          <w:rFonts w:asciiTheme="majorHAnsi" w:hAnsiTheme="majorHAnsi" w:cstheme="majorHAnsi"/>
          <w:sz w:val="22"/>
        </w:rPr>
        <w:t xml:space="preserve">different groups </w:t>
      </w:r>
      <w:r w:rsidR="00B045B7">
        <w:rPr>
          <w:rFonts w:asciiTheme="majorHAnsi" w:hAnsiTheme="majorHAnsi" w:cstheme="majorHAnsi"/>
          <w:sz w:val="22"/>
        </w:rPr>
        <w:t xml:space="preserve">of students </w:t>
      </w:r>
      <w:r w:rsidR="00D06CAE" w:rsidRPr="00055629">
        <w:rPr>
          <w:rFonts w:asciiTheme="majorHAnsi" w:hAnsiTheme="majorHAnsi" w:cstheme="majorHAnsi"/>
          <w:sz w:val="22"/>
        </w:rPr>
        <w:t xml:space="preserve">that </w:t>
      </w:r>
      <w:r w:rsidR="00B045B7">
        <w:rPr>
          <w:rFonts w:asciiTheme="majorHAnsi" w:hAnsiTheme="majorHAnsi" w:cstheme="majorHAnsi"/>
          <w:sz w:val="22"/>
        </w:rPr>
        <w:t>may</w:t>
      </w:r>
      <w:r w:rsidR="00B045B7" w:rsidRPr="00055629">
        <w:rPr>
          <w:rFonts w:asciiTheme="majorHAnsi" w:hAnsiTheme="majorHAnsi" w:cstheme="majorHAnsi"/>
          <w:sz w:val="22"/>
        </w:rPr>
        <w:t xml:space="preserve"> </w:t>
      </w:r>
      <w:r w:rsidR="00D06CAE" w:rsidRPr="00055629">
        <w:rPr>
          <w:rFonts w:asciiTheme="majorHAnsi" w:hAnsiTheme="majorHAnsi" w:cstheme="majorHAnsi"/>
          <w:sz w:val="22"/>
        </w:rPr>
        <w:t>be participating in a hybrid learning session</w:t>
      </w:r>
      <w:r w:rsidR="00C215C1" w:rsidRPr="00055629">
        <w:rPr>
          <w:rFonts w:asciiTheme="majorHAnsi" w:hAnsiTheme="majorHAnsi" w:cstheme="majorHAnsi"/>
          <w:sz w:val="22"/>
        </w:rPr>
        <w:t xml:space="preserve">. </w:t>
      </w:r>
      <w:r w:rsidR="00D06CAE" w:rsidRPr="00055629">
        <w:rPr>
          <w:rFonts w:asciiTheme="majorHAnsi" w:hAnsiTheme="majorHAnsi" w:cstheme="majorHAnsi"/>
          <w:sz w:val="22"/>
        </w:rPr>
        <w:t xml:space="preserve"> </w:t>
      </w:r>
    </w:p>
    <w:p w14:paraId="0FA8F67E" w14:textId="2413A7B4" w:rsidR="00EA01CD" w:rsidRDefault="00EE28E6" w:rsidP="006A3B1D">
      <w:pPr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 xml:space="preserve">If you require guidance on the technologies currently available in </w:t>
      </w:r>
      <w:r w:rsidR="008D5405">
        <w:rPr>
          <w:rFonts w:asciiTheme="majorHAnsi" w:hAnsiTheme="majorHAnsi" w:cstheme="majorHAnsi"/>
          <w:lang w:eastAsia="en-GB"/>
        </w:rPr>
        <w:t>a teaching space</w:t>
      </w:r>
      <w:r w:rsidR="00E67855">
        <w:rPr>
          <w:rFonts w:asciiTheme="majorHAnsi" w:hAnsiTheme="majorHAnsi" w:cstheme="majorHAnsi"/>
          <w:lang w:eastAsia="en-GB"/>
        </w:rPr>
        <w:t xml:space="preserve"> </w:t>
      </w:r>
      <w:r w:rsidR="00076714">
        <w:rPr>
          <w:rFonts w:asciiTheme="majorHAnsi" w:hAnsiTheme="majorHAnsi" w:cstheme="majorHAnsi"/>
          <w:lang w:eastAsia="en-GB"/>
        </w:rPr>
        <w:t xml:space="preserve">please contact the </w:t>
      </w:r>
      <w:hyperlink r:id="rId11" w:history="1">
        <w:r w:rsidR="00076714" w:rsidRPr="004A0441">
          <w:rPr>
            <w:rStyle w:val="Hyperlink"/>
            <w:rFonts w:asciiTheme="majorHAnsi" w:hAnsiTheme="majorHAnsi" w:cstheme="majorHAnsi"/>
            <w:lang w:eastAsia="en-GB"/>
          </w:rPr>
          <w:t>IT Service desk</w:t>
        </w:r>
      </w:hyperlink>
      <w:r w:rsidR="00076714">
        <w:rPr>
          <w:rFonts w:asciiTheme="majorHAnsi" w:hAnsiTheme="majorHAnsi" w:cstheme="majorHAnsi"/>
          <w:lang w:eastAsia="en-GB"/>
        </w:rPr>
        <w:t>. For informati</w:t>
      </w:r>
      <w:r w:rsidR="008E312B">
        <w:rPr>
          <w:rFonts w:asciiTheme="majorHAnsi" w:hAnsiTheme="majorHAnsi" w:cstheme="majorHAnsi"/>
          <w:lang w:eastAsia="en-GB"/>
        </w:rPr>
        <w:t xml:space="preserve">on on the platforms available to teach online please visit the </w:t>
      </w:r>
      <w:r w:rsidR="00E0264E">
        <w:rPr>
          <w:rFonts w:asciiTheme="majorHAnsi" w:hAnsiTheme="majorHAnsi" w:cstheme="majorHAnsi"/>
          <w:lang w:eastAsia="en-GB"/>
        </w:rPr>
        <w:t>“</w:t>
      </w:r>
      <w:r w:rsidR="00EA01CD">
        <w:rPr>
          <w:rFonts w:asciiTheme="majorHAnsi" w:hAnsiTheme="majorHAnsi" w:cstheme="majorHAnsi"/>
          <w:lang w:eastAsia="en-GB"/>
        </w:rPr>
        <w:t>choosing a digital classroom tool</w:t>
      </w:r>
      <w:r w:rsidR="00E0264E">
        <w:rPr>
          <w:rFonts w:asciiTheme="majorHAnsi" w:hAnsiTheme="majorHAnsi" w:cstheme="majorHAnsi"/>
          <w:lang w:eastAsia="en-GB"/>
        </w:rPr>
        <w:t>”</w:t>
      </w:r>
      <w:r w:rsidR="00EA01CD">
        <w:rPr>
          <w:rFonts w:asciiTheme="majorHAnsi" w:hAnsiTheme="majorHAnsi" w:cstheme="majorHAnsi"/>
          <w:lang w:eastAsia="en-GB"/>
        </w:rPr>
        <w:t xml:space="preserve"> webpage.</w:t>
      </w:r>
    </w:p>
    <w:p w14:paraId="26A87A42" w14:textId="5F69A2A6" w:rsidR="00D06CAE" w:rsidRPr="00055629" w:rsidRDefault="00835696" w:rsidP="006A3B1D">
      <w:pPr>
        <w:rPr>
          <w:rFonts w:asciiTheme="majorHAnsi" w:hAnsiTheme="majorHAnsi" w:cstheme="majorHAnsi"/>
          <w:lang w:eastAsia="en-GB"/>
        </w:rPr>
      </w:pPr>
      <w:hyperlink r:id="rId12" w:history="1">
        <w:r w:rsidR="008D5405" w:rsidRPr="005B05B9">
          <w:rPr>
            <w:rStyle w:val="Hyperlink"/>
            <w:rFonts w:asciiTheme="majorHAnsi" w:hAnsiTheme="majorHAnsi" w:cstheme="majorHAnsi"/>
            <w:lang w:eastAsia="en-GB"/>
          </w:rPr>
          <w:t>https://teachlearn.leedsbeckett.ac.uk/guides/mybeckett-and-digital-learning-guides/collaborate-ultra/choosing-a-digital-classroom-tool/</w:t>
        </w:r>
      </w:hyperlink>
      <w:r w:rsidR="008D5405">
        <w:rPr>
          <w:rFonts w:asciiTheme="majorHAnsi" w:hAnsiTheme="majorHAnsi" w:cstheme="majorHAnsi"/>
          <w:lang w:eastAsia="en-GB"/>
        </w:rPr>
        <w:t xml:space="preserve"> </w:t>
      </w:r>
    </w:p>
    <w:p w14:paraId="13E8809B" w14:textId="5B89F83E" w:rsidR="001050BF" w:rsidRPr="00055629" w:rsidRDefault="00A64EEA" w:rsidP="00055629">
      <w:pPr>
        <w:tabs>
          <w:tab w:val="left" w:pos="12576"/>
        </w:tabs>
        <w:rPr>
          <w:rFonts w:asciiTheme="majorHAnsi" w:hAnsiTheme="majorHAnsi" w:cstheme="majorHAnsi"/>
        </w:rPr>
      </w:pPr>
      <w:r w:rsidRPr="00055629">
        <w:rPr>
          <w:rFonts w:asciiTheme="majorHAnsi" w:hAnsiTheme="majorHAnsi" w:cstheme="majorHAnsi"/>
        </w:rPr>
        <w:tab/>
      </w:r>
    </w:p>
    <w:tbl>
      <w:tblPr>
        <w:tblStyle w:val="TableGrid"/>
        <w:tblW w:w="13849" w:type="dxa"/>
        <w:tblLook w:val="04A0" w:firstRow="1" w:lastRow="0" w:firstColumn="1" w:lastColumn="0" w:noHBand="0" w:noVBand="1"/>
      </w:tblPr>
      <w:tblGrid>
        <w:gridCol w:w="1555"/>
        <w:gridCol w:w="2693"/>
        <w:gridCol w:w="3260"/>
        <w:gridCol w:w="3119"/>
        <w:gridCol w:w="3222"/>
      </w:tblGrid>
      <w:tr w:rsidR="00E0556D" w:rsidRPr="001F4177" w14:paraId="6FAC08BF" w14:textId="77777777" w:rsidTr="00F96EC4">
        <w:tc>
          <w:tcPr>
            <w:tcW w:w="1555" w:type="dxa"/>
            <w:vMerge w:val="restart"/>
            <w:shd w:val="clear" w:color="auto" w:fill="9CC2E5" w:themeFill="accent5" w:themeFillTint="99"/>
          </w:tcPr>
          <w:p w14:paraId="1F1CEB4C" w14:textId="77777777" w:rsidR="00A04E03" w:rsidRPr="001F4177" w:rsidRDefault="00A04E03" w:rsidP="00E01ACC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3BBFE9C" w14:textId="77777777" w:rsidR="00181803" w:rsidRPr="00055629" w:rsidRDefault="00181803" w:rsidP="00E01ACC">
            <w:pPr>
              <w:rPr>
                <w:rFonts w:asciiTheme="majorHAnsi" w:hAnsiTheme="majorHAnsi" w:cstheme="majorHAnsi"/>
                <w:b/>
              </w:rPr>
            </w:pPr>
            <w:r w:rsidRPr="00055629">
              <w:rPr>
                <w:rFonts w:asciiTheme="majorHAnsi" w:hAnsiTheme="majorHAnsi" w:cstheme="majorHAnsi"/>
                <w:b/>
              </w:rPr>
              <w:t>Principles</w:t>
            </w:r>
          </w:p>
          <w:p w14:paraId="6E237BB7" w14:textId="77777777" w:rsidR="00181803" w:rsidRPr="00055629" w:rsidRDefault="00181803" w:rsidP="0018180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294" w:type="dxa"/>
            <w:gridSpan w:val="4"/>
            <w:shd w:val="clear" w:color="auto" w:fill="9CC2E5" w:themeFill="accent5" w:themeFillTint="99"/>
          </w:tcPr>
          <w:p w14:paraId="223BEAD1" w14:textId="170AD1E4" w:rsidR="00181803" w:rsidRPr="00055629" w:rsidRDefault="00E0556D" w:rsidP="0018180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55629">
              <w:rPr>
                <w:rFonts w:asciiTheme="majorHAnsi" w:hAnsiTheme="majorHAnsi" w:cstheme="majorHAnsi"/>
                <w:b/>
              </w:rPr>
              <w:t>Considerations</w:t>
            </w:r>
            <w:r w:rsidR="00181803" w:rsidRPr="00055629">
              <w:rPr>
                <w:rFonts w:asciiTheme="majorHAnsi" w:hAnsiTheme="majorHAnsi" w:cstheme="majorHAnsi"/>
                <w:b/>
              </w:rPr>
              <w:t xml:space="preserve"> to guide </w:t>
            </w:r>
            <w:r w:rsidR="004B6CB0" w:rsidRPr="00055629">
              <w:rPr>
                <w:rFonts w:asciiTheme="majorHAnsi" w:hAnsiTheme="majorHAnsi" w:cstheme="majorHAnsi"/>
                <w:b/>
              </w:rPr>
              <w:t xml:space="preserve">your </w:t>
            </w:r>
            <w:r w:rsidR="00181803" w:rsidRPr="00055629">
              <w:rPr>
                <w:rFonts w:asciiTheme="majorHAnsi" w:hAnsiTheme="majorHAnsi" w:cstheme="majorHAnsi"/>
                <w:b/>
              </w:rPr>
              <w:t>reflection</w:t>
            </w:r>
          </w:p>
        </w:tc>
      </w:tr>
      <w:tr w:rsidR="001F4177" w:rsidRPr="001F4177" w14:paraId="64AAA20A" w14:textId="76837CF0" w:rsidTr="00F96EC4">
        <w:tc>
          <w:tcPr>
            <w:tcW w:w="1555" w:type="dxa"/>
            <w:vMerge/>
            <w:shd w:val="clear" w:color="auto" w:fill="9CC2E5" w:themeFill="accent5" w:themeFillTint="99"/>
          </w:tcPr>
          <w:p w14:paraId="47F5C72E" w14:textId="788A6EC1" w:rsidR="00181803" w:rsidRPr="005E2A5B" w:rsidRDefault="0018180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  <w:shd w:val="clear" w:color="auto" w:fill="BDD6EE" w:themeFill="accent5" w:themeFillTint="66"/>
          </w:tcPr>
          <w:p w14:paraId="3AE71850" w14:textId="37962CDE" w:rsidR="00181803" w:rsidRPr="005E2A5B" w:rsidRDefault="00181803">
            <w:pPr>
              <w:rPr>
                <w:rFonts w:asciiTheme="majorHAnsi" w:hAnsiTheme="majorHAnsi" w:cstheme="majorHAnsi"/>
              </w:rPr>
            </w:pPr>
            <w:r w:rsidRPr="005E2A5B">
              <w:rPr>
                <w:rFonts w:asciiTheme="majorHAnsi" w:hAnsiTheme="majorHAnsi" w:cstheme="majorHAnsi"/>
              </w:rPr>
              <w:t xml:space="preserve">Consider for </w:t>
            </w:r>
            <w:r w:rsidRPr="005E2A5B">
              <w:rPr>
                <w:rFonts w:asciiTheme="majorHAnsi" w:hAnsiTheme="majorHAnsi" w:cstheme="majorHAnsi"/>
                <w:b/>
              </w:rPr>
              <w:t>all students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4E9C7E6B" w14:textId="4CBC4CED" w:rsidR="00181803" w:rsidRPr="005E2A5B" w:rsidRDefault="00181803">
            <w:pPr>
              <w:rPr>
                <w:rFonts w:asciiTheme="majorHAnsi" w:hAnsiTheme="majorHAnsi" w:cstheme="majorHAnsi"/>
              </w:rPr>
            </w:pPr>
            <w:r w:rsidRPr="005E2A5B">
              <w:rPr>
                <w:rFonts w:asciiTheme="majorHAnsi" w:hAnsiTheme="majorHAnsi" w:cstheme="majorHAnsi"/>
              </w:rPr>
              <w:t xml:space="preserve">Consider for students engaging with </w:t>
            </w:r>
            <w:r w:rsidR="00F96EC4">
              <w:rPr>
                <w:rFonts w:asciiTheme="majorHAnsi" w:hAnsiTheme="majorHAnsi" w:cstheme="majorHAnsi"/>
              </w:rPr>
              <w:t>the</w:t>
            </w:r>
            <w:r w:rsidRPr="005E2A5B">
              <w:rPr>
                <w:rFonts w:asciiTheme="majorHAnsi" w:hAnsiTheme="majorHAnsi" w:cstheme="majorHAnsi"/>
              </w:rPr>
              <w:t xml:space="preserve"> session </w:t>
            </w:r>
            <w:r w:rsidRPr="005E2A5B">
              <w:rPr>
                <w:rFonts w:asciiTheme="majorHAnsi" w:hAnsiTheme="majorHAnsi" w:cstheme="majorHAnsi"/>
                <w:b/>
              </w:rPr>
              <w:t>face-to-face</w:t>
            </w:r>
            <w:r w:rsidR="00F96EC4">
              <w:rPr>
                <w:rFonts w:asciiTheme="majorHAnsi" w:hAnsiTheme="majorHAnsi" w:cstheme="majorHAnsi"/>
                <w:b/>
              </w:rPr>
              <w:t xml:space="preserve"> </w:t>
            </w:r>
            <w:r w:rsidR="00F96EC4" w:rsidRPr="00F96EC4">
              <w:rPr>
                <w:rFonts w:asciiTheme="majorHAnsi" w:hAnsiTheme="majorHAnsi" w:cstheme="majorHAnsi"/>
                <w:bCs/>
              </w:rPr>
              <w:t>(</w:t>
            </w:r>
            <w:r w:rsidRPr="00F96EC4">
              <w:rPr>
                <w:rFonts w:asciiTheme="majorHAnsi" w:hAnsiTheme="majorHAnsi" w:cstheme="majorHAnsi"/>
                <w:bCs/>
              </w:rPr>
              <w:t>F2F)</w:t>
            </w:r>
          </w:p>
        </w:tc>
        <w:tc>
          <w:tcPr>
            <w:tcW w:w="3119" w:type="dxa"/>
            <w:shd w:val="clear" w:color="auto" w:fill="BDD6EE" w:themeFill="accent5" w:themeFillTint="66"/>
          </w:tcPr>
          <w:p w14:paraId="7A2E46FB" w14:textId="547F9129" w:rsidR="00181803" w:rsidRPr="005E2A5B" w:rsidRDefault="00181803">
            <w:pPr>
              <w:rPr>
                <w:rFonts w:asciiTheme="majorHAnsi" w:hAnsiTheme="majorHAnsi" w:cstheme="majorHAnsi"/>
              </w:rPr>
            </w:pPr>
            <w:r w:rsidRPr="005E2A5B">
              <w:rPr>
                <w:rFonts w:asciiTheme="majorHAnsi" w:hAnsiTheme="majorHAnsi" w:cstheme="majorHAnsi"/>
              </w:rPr>
              <w:t xml:space="preserve">Consider for students engaging with </w:t>
            </w:r>
            <w:r w:rsidR="00F96EC4">
              <w:rPr>
                <w:rFonts w:asciiTheme="majorHAnsi" w:hAnsiTheme="majorHAnsi" w:cstheme="majorHAnsi"/>
              </w:rPr>
              <w:t>the</w:t>
            </w:r>
            <w:r w:rsidRPr="005E2A5B">
              <w:rPr>
                <w:rFonts w:asciiTheme="majorHAnsi" w:hAnsiTheme="majorHAnsi" w:cstheme="majorHAnsi"/>
              </w:rPr>
              <w:t xml:space="preserve"> session </w:t>
            </w:r>
            <w:r w:rsidRPr="005E2A5B">
              <w:rPr>
                <w:rFonts w:asciiTheme="majorHAnsi" w:hAnsiTheme="majorHAnsi" w:cstheme="majorHAnsi"/>
                <w:b/>
              </w:rPr>
              <w:t>online</w:t>
            </w:r>
          </w:p>
        </w:tc>
        <w:tc>
          <w:tcPr>
            <w:tcW w:w="3222" w:type="dxa"/>
            <w:shd w:val="clear" w:color="auto" w:fill="BDD6EE" w:themeFill="accent5" w:themeFillTint="66"/>
          </w:tcPr>
          <w:p w14:paraId="2D5CFFDF" w14:textId="5919D5AC" w:rsidR="00181803" w:rsidRPr="005E2A5B" w:rsidRDefault="00CE24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Possible</w:t>
            </w:r>
            <w:r w:rsidR="00E0556D" w:rsidRPr="005E2A5B">
              <w:rPr>
                <w:rFonts w:asciiTheme="majorHAnsi" w:hAnsiTheme="majorHAnsi" w:cstheme="majorHAnsi"/>
                <w:b/>
              </w:rPr>
              <w:t xml:space="preserve"> p</w:t>
            </w:r>
            <w:r w:rsidR="00181803" w:rsidRPr="005E2A5B">
              <w:rPr>
                <w:rFonts w:asciiTheme="majorHAnsi" w:hAnsiTheme="majorHAnsi" w:cstheme="majorHAnsi"/>
                <w:b/>
              </w:rPr>
              <w:t xml:space="preserve">ractical </w:t>
            </w:r>
            <w:r w:rsidR="00E0556D" w:rsidRPr="005E2A5B">
              <w:rPr>
                <w:rFonts w:asciiTheme="majorHAnsi" w:hAnsiTheme="majorHAnsi" w:cstheme="majorHAnsi"/>
                <w:b/>
              </w:rPr>
              <w:t>solutions</w:t>
            </w:r>
          </w:p>
        </w:tc>
      </w:tr>
      <w:tr w:rsidR="00E0556D" w:rsidRPr="001F4177" w14:paraId="5E658154" w14:textId="63D0CB14" w:rsidTr="00F96EC4">
        <w:tc>
          <w:tcPr>
            <w:tcW w:w="1555" w:type="dxa"/>
            <w:shd w:val="clear" w:color="auto" w:fill="FAC5A4"/>
          </w:tcPr>
          <w:p w14:paraId="4E328EA8" w14:textId="0D788FAA" w:rsidR="003F3B4A" w:rsidRPr="00055629" w:rsidRDefault="00357417">
            <w:pPr>
              <w:rPr>
                <w:rFonts w:asciiTheme="majorHAnsi" w:hAnsiTheme="majorHAnsi" w:cstheme="majorHAnsi"/>
              </w:rPr>
            </w:pPr>
            <w:r w:rsidRPr="00055629">
              <w:rPr>
                <w:rFonts w:asciiTheme="majorHAnsi" w:hAnsiTheme="majorHAnsi" w:cstheme="majorHAnsi"/>
                <w:b/>
              </w:rPr>
              <w:t>1. Hybrid teaching must be p</w:t>
            </w:r>
            <w:r w:rsidR="003F3B4A" w:rsidRPr="00055629">
              <w:rPr>
                <w:rFonts w:asciiTheme="majorHAnsi" w:hAnsiTheme="majorHAnsi" w:cstheme="majorHAnsi"/>
                <w:b/>
              </w:rPr>
              <w:t>lan</w:t>
            </w:r>
            <w:r w:rsidRPr="00055629">
              <w:rPr>
                <w:rFonts w:asciiTheme="majorHAnsi" w:hAnsiTheme="majorHAnsi" w:cstheme="majorHAnsi"/>
                <w:b/>
              </w:rPr>
              <w:t>ned</w:t>
            </w:r>
          </w:p>
        </w:tc>
        <w:tc>
          <w:tcPr>
            <w:tcW w:w="2693" w:type="dxa"/>
          </w:tcPr>
          <w:p w14:paraId="421D3031" w14:textId="340AE651" w:rsidR="003F3B4A" w:rsidRPr="00F96EC4" w:rsidRDefault="00503024" w:rsidP="009D72F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</w:rPr>
            </w:pPr>
            <w:r w:rsidRPr="00F96EC4">
              <w:rPr>
                <w:rStyle w:val="normaltextrun"/>
                <w:rFonts w:asciiTheme="majorHAnsi" w:hAnsiTheme="majorHAnsi" w:cstheme="majorHAnsi"/>
                <w:sz w:val="22"/>
              </w:rPr>
              <w:t>In</w:t>
            </w:r>
            <w:r w:rsidR="003F3B4A" w:rsidRP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design</w:t>
            </w:r>
            <w:r w:rsidRPr="00F96EC4">
              <w:rPr>
                <w:rStyle w:val="normaltextrun"/>
                <w:rFonts w:asciiTheme="majorHAnsi" w:hAnsiTheme="majorHAnsi" w:cstheme="majorHAnsi"/>
                <w:sz w:val="22"/>
              </w:rPr>
              <w:t>ing</w:t>
            </w:r>
            <w:r w:rsidR="003F3B4A" w:rsidRP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</w:t>
            </w:r>
            <w:r w:rsidR="00F96EC4">
              <w:rPr>
                <w:rStyle w:val="normaltextrun"/>
                <w:rFonts w:asciiTheme="majorHAnsi" w:hAnsiTheme="majorHAnsi" w:cstheme="majorHAnsi"/>
                <w:sz w:val="22"/>
              </w:rPr>
              <w:t>a</w:t>
            </w:r>
            <w:r w:rsidR="00F96EC4">
              <w:rPr>
                <w:rStyle w:val="normaltextrun"/>
              </w:rPr>
              <w:t xml:space="preserve"> </w:t>
            </w:r>
            <w:r w:rsidR="003F3B4A" w:rsidRPr="00F96EC4">
              <w:rPr>
                <w:rStyle w:val="normaltextrun"/>
                <w:rFonts w:asciiTheme="majorHAnsi" w:hAnsiTheme="majorHAnsi" w:cstheme="majorHAnsi"/>
                <w:sz w:val="22"/>
              </w:rPr>
              <w:t>session that will utilise hybrid teaching approaches</w:t>
            </w:r>
            <w:r w:rsidRPr="00F96EC4">
              <w:rPr>
                <w:rStyle w:val="normaltextrun"/>
                <w:rFonts w:asciiTheme="majorHAnsi" w:hAnsiTheme="majorHAnsi" w:cstheme="majorHAnsi"/>
                <w:sz w:val="22"/>
              </w:rPr>
              <w:t>,</w:t>
            </w:r>
            <w:r w:rsidR="003F3B4A" w:rsidRP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</w:t>
            </w:r>
            <w:r w:rsidRPr="00F96EC4">
              <w:rPr>
                <w:rStyle w:val="normaltextrun"/>
                <w:rFonts w:asciiTheme="majorHAnsi" w:hAnsiTheme="majorHAnsi" w:cstheme="majorHAnsi"/>
                <w:sz w:val="22"/>
              </w:rPr>
              <w:t>have you</w:t>
            </w:r>
            <w:r w:rsidR="003F3B4A" w:rsidRP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factored in time for setting it up and </w:t>
            </w:r>
            <w:r w:rsidRPr="00F96EC4">
              <w:rPr>
                <w:rStyle w:val="normaltextrun"/>
                <w:rFonts w:asciiTheme="majorHAnsi" w:hAnsiTheme="majorHAnsi" w:cstheme="majorHAnsi"/>
                <w:sz w:val="22"/>
              </w:rPr>
              <w:t>thought through appropriate activities to</w:t>
            </w:r>
            <w:r w:rsidRPr="00F96EC4">
              <w:rPr>
                <w:rStyle w:val="eop"/>
                <w:rFonts w:asciiTheme="majorHAnsi" w:hAnsiTheme="majorHAnsi" w:cstheme="majorHAnsi"/>
                <w:sz w:val="22"/>
              </w:rPr>
              <w:t> </w:t>
            </w:r>
            <w:r w:rsidR="003F3B4A" w:rsidRPr="00F96EC4">
              <w:rPr>
                <w:rStyle w:val="normaltextrun"/>
                <w:rFonts w:asciiTheme="majorHAnsi" w:hAnsiTheme="majorHAnsi" w:cstheme="majorHAnsi"/>
                <w:sz w:val="22"/>
              </w:rPr>
              <w:t>get all students engaged</w:t>
            </w:r>
            <w:r w:rsidRPr="00F96EC4">
              <w:rPr>
                <w:rStyle w:val="normaltextrun"/>
                <w:rFonts w:asciiTheme="majorHAnsi" w:hAnsiTheme="majorHAnsi" w:cstheme="majorHAnsi"/>
                <w:sz w:val="22"/>
              </w:rPr>
              <w:t>?</w:t>
            </w:r>
          </w:p>
          <w:p w14:paraId="0497A797" w14:textId="62DA88C0" w:rsidR="003F3B4A" w:rsidRPr="00F96EC4" w:rsidRDefault="003F3B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5DC50BD4" w14:textId="77777777" w:rsidR="001C1284" w:rsidRPr="00F96EC4" w:rsidRDefault="008E469A">
            <w:pPr>
              <w:rPr>
                <w:rFonts w:asciiTheme="majorHAnsi" w:hAnsiTheme="majorHAnsi" w:cstheme="majorHAnsi"/>
              </w:rPr>
            </w:pPr>
            <w:r w:rsidRPr="00F96EC4">
              <w:rPr>
                <w:rFonts w:asciiTheme="majorHAnsi" w:hAnsiTheme="majorHAnsi" w:cstheme="majorHAnsi"/>
              </w:rPr>
              <w:t>Do you</w:t>
            </w:r>
            <w:r w:rsidR="00357417" w:rsidRPr="00F96EC4">
              <w:rPr>
                <w:rFonts w:asciiTheme="majorHAnsi" w:hAnsiTheme="majorHAnsi" w:cstheme="majorHAnsi"/>
              </w:rPr>
              <w:t>r F2F</w:t>
            </w:r>
            <w:r w:rsidRPr="00F96EC4">
              <w:rPr>
                <w:rFonts w:asciiTheme="majorHAnsi" w:hAnsiTheme="majorHAnsi" w:cstheme="majorHAnsi"/>
              </w:rPr>
              <w:t xml:space="preserve"> students have the resources/technology to be fully engaged in the session</w:t>
            </w:r>
            <w:r w:rsidR="001C1284" w:rsidRPr="00F96EC4">
              <w:rPr>
                <w:rFonts w:asciiTheme="majorHAnsi" w:hAnsiTheme="majorHAnsi" w:cstheme="majorHAnsi"/>
              </w:rPr>
              <w:t>?</w:t>
            </w:r>
          </w:p>
          <w:p w14:paraId="4904F631" w14:textId="6E168BD1" w:rsidR="003F3B4A" w:rsidRPr="00F96EC4" w:rsidRDefault="008E469A">
            <w:pPr>
              <w:rPr>
                <w:rFonts w:asciiTheme="majorHAnsi" w:hAnsiTheme="majorHAnsi" w:cstheme="majorHAnsi"/>
              </w:rPr>
            </w:pPr>
            <w:r w:rsidRPr="00F96EC4">
              <w:rPr>
                <w:rFonts w:asciiTheme="majorHAnsi" w:hAnsiTheme="majorHAnsi" w:cstheme="majorHAnsi"/>
              </w:rPr>
              <w:t>Do they need a digital device to engage in chat</w:t>
            </w:r>
            <w:r w:rsidR="00F96EC4">
              <w:rPr>
                <w:rFonts w:asciiTheme="majorHAnsi" w:hAnsiTheme="majorHAnsi" w:cstheme="majorHAnsi"/>
              </w:rPr>
              <w:t xml:space="preserve"> or</w:t>
            </w:r>
            <w:r w:rsidRPr="00F96EC4">
              <w:rPr>
                <w:rFonts w:asciiTheme="majorHAnsi" w:hAnsiTheme="majorHAnsi" w:cstheme="majorHAnsi"/>
              </w:rPr>
              <w:t xml:space="preserve"> online polls/quizzes? </w:t>
            </w:r>
          </w:p>
        </w:tc>
        <w:tc>
          <w:tcPr>
            <w:tcW w:w="3119" w:type="dxa"/>
          </w:tcPr>
          <w:p w14:paraId="530618BE" w14:textId="28A4938F" w:rsidR="003F3B4A" w:rsidRPr="00F96EC4" w:rsidRDefault="002B4203">
            <w:pPr>
              <w:rPr>
                <w:rFonts w:asciiTheme="majorHAnsi" w:hAnsiTheme="majorHAnsi" w:cstheme="majorHAnsi"/>
              </w:rPr>
            </w:pPr>
            <w:r w:rsidRPr="00F96EC4">
              <w:rPr>
                <w:rFonts w:asciiTheme="majorHAnsi" w:hAnsiTheme="majorHAnsi" w:cstheme="majorHAnsi"/>
              </w:rPr>
              <w:t>Have online students access to the software, teaching materials</w:t>
            </w:r>
            <w:r w:rsidR="00357417" w:rsidRPr="00F96EC4">
              <w:rPr>
                <w:rFonts w:asciiTheme="majorHAnsi" w:hAnsiTheme="majorHAnsi" w:cstheme="majorHAnsi"/>
              </w:rPr>
              <w:t xml:space="preserve"> and </w:t>
            </w:r>
            <w:r w:rsidRPr="00F96EC4">
              <w:rPr>
                <w:rFonts w:asciiTheme="majorHAnsi" w:hAnsiTheme="majorHAnsi" w:cstheme="majorHAnsi"/>
              </w:rPr>
              <w:t>resources that F2F students have?</w:t>
            </w:r>
          </w:p>
        </w:tc>
        <w:tc>
          <w:tcPr>
            <w:tcW w:w="3222" w:type="dxa"/>
          </w:tcPr>
          <w:p w14:paraId="554472B4" w14:textId="77777777" w:rsidR="00D62711" w:rsidRPr="00F96EC4" w:rsidRDefault="00D62711">
            <w:pPr>
              <w:rPr>
                <w:rFonts w:asciiTheme="majorHAnsi" w:hAnsiTheme="majorHAnsi" w:cstheme="majorHAnsi"/>
              </w:rPr>
            </w:pPr>
            <w:r w:rsidRPr="00F96EC4">
              <w:rPr>
                <w:rFonts w:asciiTheme="majorHAnsi" w:hAnsiTheme="majorHAnsi" w:cstheme="majorHAnsi"/>
              </w:rPr>
              <w:t xml:space="preserve">Ensure everybody understands the additional challenges hybrid L&amp;T brings. </w:t>
            </w:r>
          </w:p>
          <w:p w14:paraId="7EDB4916" w14:textId="4A02BBA7" w:rsidR="004B6CB0" w:rsidRPr="00F96EC4" w:rsidRDefault="00D62711">
            <w:pPr>
              <w:rPr>
                <w:rFonts w:asciiTheme="majorHAnsi" w:hAnsiTheme="majorHAnsi" w:cstheme="majorHAnsi"/>
              </w:rPr>
            </w:pPr>
            <w:r w:rsidRPr="00F96EC4">
              <w:rPr>
                <w:rFonts w:asciiTheme="majorHAnsi" w:hAnsiTheme="majorHAnsi" w:cstheme="majorHAnsi"/>
              </w:rPr>
              <w:t>Provide students with all the information they will need</w:t>
            </w:r>
            <w:r w:rsidR="00F96EC4">
              <w:rPr>
                <w:rFonts w:asciiTheme="majorHAnsi" w:hAnsiTheme="majorHAnsi" w:cstheme="majorHAnsi"/>
              </w:rPr>
              <w:t>,</w:t>
            </w:r>
            <w:r w:rsidRPr="00F96EC4">
              <w:rPr>
                <w:rFonts w:asciiTheme="majorHAnsi" w:hAnsiTheme="majorHAnsi" w:cstheme="majorHAnsi"/>
              </w:rPr>
              <w:t xml:space="preserve"> e.g. information on laptop loans or specific apps you will be using. Consider p</w:t>
            </w:r>
            <w:r w:rsidR="00E0556D" w:rsidRPr="00F96EC4">
              <w:rPr>
                <w:rFonts w:asciiTheme="majorHAnsi" w:hAnsiTheme="majorHAnsi" w:cstheme="majorHAnsi"/>
              </w:rPr>
              <w:t>lan</w:t>
            </w:r>
            <w:r w:rsidRPr="00F96EC4">
              <w:rPr>
                <w:rFonts w:asciiTheme="majorHAnsi" w:hAnsiTheme="majorHAnsi" w:cstheme="majorHAnsi"/>
              </w:rPr>
              <w:t>ning</w:t>
            </w:r>
            <w:r w:rsidR="00E0556D" w:rsidRPr="00F96EC4">
              <w:rPr>
                <w:rFonts w:asciiTheme="majorHAnsi" w:hAnsiTheme="majorHAnsi" w:cstheme="majorHAnsi"/>
              </w:rPr>
              <w:t xml:space="preserve"> s</w:t>
            </w:r>
            <w:r w:rsidR="000207D5" w:rsidRPr="00F96EC4">
              <w:rPr>
                <w:rFonts w:asciiTheme="majorHAnsi" w:hAnsiTheme="majorHAnsi" w:cstheme="majorHAnsi"/>
              </w:rPr>
              <w:t>ession</w:t>
            </w:r>
            <w:r w:rsidR="00E0556D" w:rsidRPr="00F96EC4">
              <w:rPr>
                <w:rFonts w:asciiTheme="majorHAnsi" w:hAnsiTheme="majorHAnsi" w:cstheme="majorHAnsi"/>
              </w:rPr>
              <w:t>s</w:t>
            </w:r>
            <w:r w:rsidR="000207D5" w:rsidRPr="00F96EC4">
              <w:rPr>
                <w:rFonts w:asciiTheme="majorHAnsi" w:hAnsiTheme="majorHAnsi" w:cstheme="majorHAnsi"/>
              </w:rPr>
              <w:t xml:space="preserve"> with </w:t>
            </w:r>
            <w:r w:rsidR="00493185" w:rsidRPr="00F96EC4">
              <w:rPr>
                <w:rFonts w:asciiTheme="majorHAnsi" w:hAnsiTheme="majorHAnsi" w:cstheme="majorHAnsi"/>
              </w:rPr>
              <w:t xml:space="preserve">breakout </w:t>
            </w:r>
            <w:r w:rsidR="00E0556D" w:rsidRPr="00F96EC4">
              <w:rPr>
                <w:rFonts w:asciiTheme="majorHAnsi" w:hAnsiTheme="majorHAnsi" w:cstheme="majorHAnsi"/>
              </w:rPr>
              <w:t>groups</w:t>
            </w:r>
            <w:r w:rsidR="00493185" w:rsidRPr="00F96EC4">
              <w:rPr>
                <w:rFonts w:asciiTheme="majorHAnsi" w:hAnsiTheme="majorHAnsi" w:cstheme="majorHAnsi"/>
              </w:rPr>
              <w:t xml:space="preserve"> spaced throughout </w:t>
            </w:r>
            <w:r w:rsidR="00E0556D" w:rsidRPr="00F96EC4">
              <w:rPr>
                <w:rFonts w:asciiTheme="majorHAnsi" w:hAnsiTheme="majorHAnsi" w:cstheme="majorHAnsi"/>
              </w:rPr>
              <w:t>to enable</w:t>
            </w:r>
            <w:r w:rsidR="00493185" w:rsidRPr="00F96EC4">
              <w:rPr>
                <w:rFonts w:asciiTheme="majorHAnsi" w:hAnsiTheme="majorHAnsi" w:cstheme="majorHAnsi"/>
              </w:rPr>
              <w:t xml:space="preserve"> students to work together or </w:t>
            </w:r>
            <w:r w:rsidRPr="00F96EC4">
              <w:rPr>
                <w:rFonts w:asciiTheme="majorHAnsi" w:hAnsiTheme="majorHAnsi" w:cstheme="majorHAnsi"/>
              </w:rPr>
              <w:t xml:space="preserve">to </w:t>
            </w:r>
            <w:r w:rsidR="00493185" w:rsidRPr="00F96EC4">
              <w:rPr>
                <w:rFonts w:asciiTheme="majorHAnsi" w:hAnsiTheme="majorHAnsi" w:cstheme="majorHAnsi"/>
              </w:rPr>
              <w:t xml:space="preserve">do independent investigation and </w:t>
            </w:r>
            <w:r w:rsidR="00F96EC4">
              <w:rPr>
                <w:rFonts w:asciiTheme="majorHAnsi" w:hAnsiTheme="majorHAnsi" w:cstheme="majorHAnsi"/>
              </w:rPr>
              <w:t xml:space="preserve">to </w:t>
            </w:r>
            <w:r w:rsidR="00C21FB9" w:rsidRPr="00F96EC4">
              <w:rPr>
                <w:rFonts w:asciiTheme="majorHAnsi" w:hAnsiTheme="majorHAnsi" w:cstheme="majorHAnsi"/>
              </w:rPr>
              <w:t xml:space="preserve">allow </w:t>
            </w:r>
            <w:r w:rsidR="00493185" w:rsidRPr="00F96EC4">
              <w:rPr>
                <w:rFonts w:asciiTheme="majorHAnsi" w:hAnsiTheme="majorHAnsi" w:cstheme="majorHAnsi"/>
              </w:rPr>
              <w:t>staff member</w:t>
            </w:r>
            <w:r w:rsidR="00E0556D" w:rsidRPr="00F96EC4">
              <w:rPr>
                <w:rFonts w:asciiTheme="majorHAnsi" w:hAnsiTheme="majorHAnsi" w:cstheme="majorHAnsi"/>
              </w:rPr>
              <w:t>s</w:t>
            </w:r>
            <w:r w:rsidR="00493185" w:rsidRPr="00F96EC4">
              <w:rPr>
                <w:rFonts w:asciiTheme="majorHAnsi" w:hAnsiTheme="majorHAnsi" w:cstheme="majorHAnsi"/>
              </w:rPr>
              <w:t xml:space="preserve"> to deal with queries/issues.  </w:t>
            </w:r>
            <w:r w:rsidR="00677C5F" w:rsidRPr="00F96EC4">
              <w:rPr>
                <w:rFonts w:asciiTheme="majorHAnsi" w:hAnsiTheme="majorHAnsi" w:cstheme="majorHAnsi"/>
              </w:rPr>
              <w:t xml:space="preserve"> </w:t>
            </w:r>
          </w:p>
          <w:p w14:paraId="5C0B9987" w14:textId="3EE2DAC6" w:rsidR="003F3B4A" w:rsidRPr="00F96EC4" w:rsidRDefault="003F3B4A">
            <w:pPr>
              <w:rPr>
                <w:rFonts w:asciiTheme="majorHAnsi" w:hAnsiTheme="majorHAnsi" w:cstheme="majorHAnsi"/>
              </w:rPr>
            </w:pPr>
          </w:p>
        </w:tc>
      </w:tr>
      <w:tr w:rsidR="00E0556D" w:rsidRPr="001F4177" w14:paraId="428E9FDA" w14:textId="440DB306" w:rsidTr="00F96EC4">
        <w:tc>
          <w:tcPr>
            <w:tcW w:w="1555" w:type="dxa"/>
            <w:shd w:val="clear" w:color="auto" w:fill="F39A7D"/>
          </w:tcPr>
          <w:p w14:paraId="771F50F3" w14:textId="4629A48A" w:rsidR="003F3B4A" w:rsidRPr="00055629" w:rsidRDefault="00357417">
            <w:pPr>
              <w:rPr>
                <w:rFonts w:asciiTheme="majorHAnsi" w:hAnsiTheme="majorHAnsi" w:cstheme="majorHAnsi"/>
              </w:rPr>
            </w:pPr>
            <w:r w:rsidRPr="00055629">
              <w:rPr>
                <w:rFonts w:asciiTheme="majorHAnsi" w:hAnsiTheme="majorHAnsi" w:cstheme="majorHAnsi"/>
                <w:b/>
              </w:rPr>
              <w:lastRenderedPageBreak/>
              <w:t>2. Hybrid teaching must be m</w:t>
            </w:r>
            <w:r w:rsidR="003F3B4A" w:rsidRPr="00055629">
              <w:rPr>
                <w:rFonts w:asciiTheme="majorHAnsi" w:hAnsiTheme="majorHAnsi" w:cstheme="majorHAnsi"/>
                <w:b/>
              </w:rPr>
              <w:t>anag</w:t>
            </w:r>
            <w:r w:rsidRPr="00055629">
              <w:rPr>
                <w:rFonts w:asciiTheme="majorHAnsi" w:hAnsiTheme="majorHAnsi" w:cstheme="majorHAnsi"/>
                <w:b/>
              </w:rPr>
              <w:t xml:space="preserve">ed </w:t>
            </w:r>
          </w:p>
        </w:tc>
        <w:tc>
          <w:tcPr>
            <w:tcW w:w="2693" w:type="dxa"/>
          </w:tcPr>
          <w:p w14:paraId="663D07EE" w14:textId="323E2110" w:rsidR="003F3B4A" w:rsidRPr="00F96EC4" w:rsidRDefault="00A100D5" w:rsidP="0037427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</w:rPr>
            </w:pPr>
            <w:r w:rsidRPr="00F96EC4">
              <w:rPr>
                <w:rStyle w:val="normaltextrun"/>
                <w:rFonts w:asciiTheme="majorHAnsi" w:hAnsiTheme="majorHAnsi" w:cstheme="majorHAnsi"/>
                <w:sz w:val="22"/>
              </w:rPr>
              <w:t>Are</w:t>
            </w:r>
            <w:r w:rsidR="003F3B4A" w:rsidRP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your</w:t>
            </w:r>
            <w:r w:rsidRP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activities and</w:t>
            </w:r>
            <w:r w:rsidR="003F3B4A" w:rsidRP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hybrid approach adaptable if circumstances change suddenly</w:t>
            </w:r>
            <w:r w:rsidR="00F96EC4">
              <w:rPr>
                <w:rStyle w:val="normaltextrun"/>
                <w:rFonts w:asciiTheme="majorHAnsi" w:hAnsiTheme="majorHAnsi" w:cstheme="majorHAnsi"/>
                <w:sz w:val="22"/>
              </w:rPr>
              <w:t>,</w:t>
            </w:r>
            <w:r w:rsidR="003F3B4A" w:rsidRP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e.g</w:t>
            </w:r>
            <w:r w:rsidR="003F3B4A" w:rsidRPr="00F96EC4">
              <w:rPr>
                <w:rStyle w:val="normaltextrun"/>
                <w:rFonts w:asciiTheme="majorHAnsi" w:hAnsiTheme="majorHAnsi" w:cstheme="majorHAnsi"/>
                <w:sz w:val="22"/>
                <w:u w:val="single"/>
              </w:rPr>
              <w:t>.</w:t>
            </w:r>
            <w:r w:rsidR="003F3B4A" w:rsidRP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</w:t>
            </w:r>
            <w:r w:rsid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if </w:t>
            </w:r>
            <w:r w:rsidR="00503024" w:rsidRPr="00F96EC4">
              <w:rPr>
                <w:rStyle w:val="normaltextrun"/>
                <w:rFonts w:asciiTheme="majorHAnsi" w:hAnsiTheme="majorHAnsi" w:cstheme="majorHAnsi"/>
                <w:sz w:val="22"/>
              </w:rPr>
              <w:t>F2F</w:t>
            </w:r>
            <w:r w:rsidR="003F3B4A" w:rsidRP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is no longer possible</w:t>
            </w:r>
            <w:r w:rsid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or</w:t>
            </w:r>
            <w:r w:rsidR="000E593C" w:rsidRP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the designated classroom changes</w:t>
            </w:r>
            <w:r w:rsidR="001464C7" w:rsidRPr="00F96EC4">
              <w:rPr>
                <w:rStyle w:val="eop"/>
                <w:rFonts w:asciiTheme="majorHAnsi" w:hAnsiTheme="majorHAnsi" w:cstheme="majorHAnsi"/>
                <w:sz w:val="22"/>
              </w:rPr>
              <w:t>?</w:t>
            </w:r>
          </w:p>
          <w:p w14:paraId="07716787" w14:textId="6C96B07A" w:rsidR="003F3B4A" w:rsidRPr="00F96EC4" w:rsidRDefault="003F3B4A" w:rsidP="00FE756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260" w:type="dxa"/>
          </w:tcPr>
          <w:p w14:paraId="249D533A" w14:textId="4470C5B7" w:rsidR="003F3B4A" w:rsidRPr="00F96EC4" w:rsidRDefault="00503024">
            <w:pPr>
              <w:rPr>
                <w:rFonts w:asciiTheme="majorHAnsi" w:hAnsiTheme="majorHAnsi" w:cstheme="majorHAnsi"/>
              </w:rPr>
            </w:pPr>
            <w:r w:rsidRPr="00F96EC4">
              <w:rPr>
                <w:rFonts w:asciiTheme="majorHAnsi" w:hAnsiTheme="majorHAnsi" w:cstheme="majorHAnsi"/>
              </w:rPr>
              <w:t>Are you</w:t>
            </w:r>
            <w:r w:rsidR="00E56B8E" w:rsidRPr="00F96EC4">
              <w:rPr>
                <w:rFonts w:asciiTheme="majorHAnsi" w:hAnsiTheme="majorHAnsi" w:cstheme="majorHAnsi"/>
              </w:rPr>
              <w:t xml:space="preserve"> clear about the ground rules </w:t>
            </w:r>
            <w:r w:rsidR="00F96EC4">
              <w:rPr>
                <w:rFonts w:asciiTheme="majorHAnsi" w:hAnsiTheme="majorHAnsi" w:cstheme="majorHAnsi"/>
              </w:rPr>
              <w:t>for</w:t>
            </w:r>
            <w:r w:rsidR="00E56B8E" w:rsidRPr="00F96EC4">
              <w:rPr>
                <w:rFonts w:asciiTheme="majorHAnsi" w:hAnsiTheme="majorHAnsi" w:cstheme="majorHAnsi"/>
              </w:rPr>
              <w:t xml:space="preserve"> how </w:t>
            </w:r>
            <w:r w:rsidR="009575D4" w:rsidRPr="00F96EC4">
              <w:rPr>
                <w:rFonts w:asciiTheme="majorHAnsi" w:hAnsiTheme="majorHAnsi" w:cstheme="majorHAnsi"/>
              </w:rPr>
              <w:t>each</w:t>
            </w:r>
            <w:r w:rsidR="00E56B8E" w:rsidRPr="00F96EC4">
              <w:rPr>
                <w:rFonts w:asciiTheme="majorHAnsi" w:hAnsiTheme="majorHAnsi" w:cstheme="majorHAnsi"/>
              </w:rPr>
              <w:t xml:space="preserve"> session will run</w:t>
            </w:r>
            <w:r w:rsidR="00F96EC4">
              <w:rPr>
                <w:rFonts w:asciiTheme="majorHAnsi" w:hAnsiTheme="majorHAnsi" w:cstheme="majorHAnsi"/>
              </w:rPr>
              <w:t>,</w:t>
            </w:r>
            <w:r w:rsidR="00E56B8E" w:rsidRPr="00F96EC4">
              <w:rPr>
                <w:rFonts w:asciiTheme="majorHAnsi" w:hAnsiTheme="majorHAnsi" w:cstheme="majorHAnsi"/>
              </w:rPr>
              <w:t xml:space="preserve"> </w:t>
            </w:r>
            <w:r w:rsidRPr="00F96EC4">
              <w:rPr>
                <w:rFonts w:asciiTheme="majorHAnsi" w:hAnsiTheme="majorHAnsi" w:cstheme="majorHAnsi"/>
              </w:rPr>
              <w:t>e.g.</w:t>
            </w:r>
            <w:r w:rsidR="00E56B8E" w:rsidRPr="00F96EC4">
              <w:rPr>
                <w:rFonts w:asciiTheme="majorHAnsi" w:hAnsiTheme="majorHAnsi" w:cstheme="majorHAnsi"/>
              </w:rPr>
              <w:t xml:space="preserve"> </w:t>
            </w:r>
            <w:r w:rsidR="00F96EC4">
              <w:rPr>
                <w:rFonts w:asciiTheme="majorHAnsi" w:hAnsiTheme="majorHAnsi" w:cstheme="majorHAnsi"/>
              </w:rPr>
              <w:t xml:space="preserve">identifying </w:t>
            </w:r>
            <w:r w:rsidR="009575D4" w:rsidRPr="00F96EC4">
              <w:rPr>
                <w:rFonts w:asciiTheme="majorHAnsi" w:hAnsiTheme="majorHAnsi" w:cstheme="majorHAnsi"/>
              </w:rPr>
              <w:t xml:space="preserve">when </w:t>
            </w:r>
            <w:r w:rsidR="00E56B8E" w:rsidRPr="00F96EC4">
              <w:rPr>
                <w:rFonts w:asciiTheme="majorHAnsi" w:hAnsiTheme="majorHAnsi" w:cstheme="majorHAnsi"/>
              </w:rPr>
              <w:t xml:space="preserve">F2F students </w:t>
            </w:r>
            <w:r w:rsidR="009575D4" w:rsidRPr="00F96EC4">
              <w:rPr>
                <w:rFonts w:asciiTheme="majorHAnsi" w:hAnsiTheme="majorHAnsi" w:cstheme="majorHAnsi"/>
              </w:rPr>
              <w:t>can speak</w:t>
            </w:r>
            <w:r w:rsidR="00E56B8E" w:rsidRPr="00F96EC4">
              <w:rPr>
                <w:rFonts w:asciiTheme="majorHAnsi" w:hAnsiTheme="majorHAnsi" w:cstheme="majorHAnsi"/>
              </w:rPr>
              <w:t xml:space="preserve"> and ask question</w:t>
            </w:r>
            <w:r w:rsidR="000272DF" w:rsidRPr="00F96EC4">
              <w:rPr>
                <w:rFonts w:asciiTheme="majorHAnsi" w:hAnsiTheme="majorHAnsi" w:cstheme="majorHAnsi"/>
              </w:rPr>
              <w:t>s</w:t>
            </w:r>
            <w:r w:rsidR="00E56B8E" w:rsidRPr="00F96EC4">
              <w:rPr>
                <w:rFonts w:asciiTheme="majorHAnsi" w:hAnsiTheme="majorHAnsi" w:cstheme="majorHAnsi"/>
              </w:rPr>
              <w:t xml:space="preserve"> </w:t>
            </w:r>
            <w:r w:rsidR="000272DF" w:rsidRPr="00F96EC4">
              <w:rPr>
                <w:rFonts w:asciiTheme="majorHAnsi" w:hAnsiTheme="majorHAnsi" w:cstheme="majorHAnsi"/>
              </w:rPr>
              <w:t xml:space="preserve">(so some students do </w:t>
            </w:r>
            <w:r w:rsidR="00E56B8E" w:rsidRPr="00F96EC4">
              <w:rPr>
                <w:rFonts w:asciiTheme="majorHAnsi" w:hAnsiTheme="majorHAnsi" w:cstheme="majorHAnsi"/>
              </w:rPr>
              <w:t>not monopolise time</w:t>
            </w:r>
            <w:r w:rsidR="000272DF" w:rsidRPr="00F96EC4">
              <w:rPr>
                <w:rFonts w:asciiTheme="majorHAnsi" w:hAnsiTheme="majorHAnsi" w:cstheme="majorHAnsi"/>
              </w:rPr>
              <w:t>)?</w:t>
            </w:r>
          </w:p>
        </w:tc>
        <w:tc>
          <w:tcPr>
            <w:tcW w:w="3119" w:type="dxa"/>
          </w:tcPr>
          <w:p w14:paraId="36220C53" w14:textId="0467A53D" w:rsidR="003F3B4A" w:rsidRPr="00F96EC4" w:rsidRDefault="003F3B4A" w:rsidP="009D72F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</w:rPr>
            </w:pPr>
            <w:r w:rsidRP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How will you keep students engaged when they are only able to access the online hybrid space compared to their peers in the </w:t>
            </w:r>
            <w:r w:rsidR="00503024" w:rsidRPr="00F96EC4">
              <w:rPr>
                <w:rStyle w:val="normaltextrun"/>
                <w:rFonts w:asciiTheme="majorHAnsi" w:hAnsiTheme="majorHAnsi" w:cstheme="majorHAnsi"/>
                <w:sz w:val="22"/>
              </w:rPr>
              <w:t>F2F</w:t>
            </w:r>
            <w:r w:rsidRP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classroom? </w:t>
            </w:r>
            <w:r w:rsidRPr="00F96EC4">
              <w:rPr>
                <w:rStyle w:val="eop"/>
                <w:rFonts w:asciiTheme="majorHAnsi" w:hAnsiTheme="majorHAnsi" w:cstheme="majorHAnsi"/>
                <w:sz w:val="22"/>
              </w:rPr>
              <w:t> </w:t>
            </w:r>
          </w:p>
        </w:tc>
        <w:tc>
          <w:tcPr>
            <w:tcW w:w="3222" w:type="dxa"/>
          </w:tcPr>
          <w:p w14:paraId="66414376" w14:textId="77777777" w:rsidR="00E0264E" w:rsidRDefault="00AE3C03" w:rsidP="009D72F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Ensure you have the resources to manage in</w:t>
            </w:r>
            <w:r w:rsidR="00F677A9">
              <w:rPr>
                <w:rFonts w:asciiTheme="majorHAnsi" w:hAnsiTheme="majorHAnsi" w:cstheme="majorHAnsi"/>
                <w:sz w:val="22"/>
              </w:rPr>
              <w:t>-</w:t>
            </w:r>
            <w:r>
              <w:rPr>
                <w:rFonts w:asciiTheme="majorHAnsi" w:hAnsiTheme="majorHAnsi" w:cstheme="majorHAnsi"/>
                <w:sz w:val="22"/>
              </w:rPr>
              <w:t>room teaching alongside online</w:t>
            </w:r>
            <w:r w:rsidR="00F677A9">
              <w:rPr>
                <w:rFonts w:asciiTheme="majorHAnsi" w:hAnsiTheme="majorHAnsi" w:cstheme="majorHAnsi"/>
                <w:sz w:val="22"/>
              </w:rPr>
              <w:t>,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F677A9">
              <w:rPr>
                <w:rFonts w:asciiTheme="majorHAnsi" w:hAnsiTheme="majorHAnsi" w:cstheme="majorHAnsi"/>
                <w:sz w:val="22"/>
              </w:rPr>
              <w:t>e</w:t>
            </w:r>
            <w:r>
              <w:rPr>
                <w:rFonts w:asciiTheme="majorHAnsi" w:hAnsiTheme="majorHAnsi" w:cstheme="majorHAnsi"/>
                <w:sz w:val="22"/>
              </w:rPr>
              <w:t xml:space="preserve">.g. </w:t>
            </w:r>
            <w:r w:rsidR="00F677A9">
              <w:rPr>
                <w:rFonts w:asciiTheme="majorHAnsi" w:hAnsiTheme="majorHAnsi" w:cstheme="majorHAnsi"/>
                <w:sz w:val="22"/>
              </w:rPr>
              <w:t>c</w:t>
            </w:r>
            <w:r>
              <w:rPr>
                <w:rFonts w:asciiTheme="majorHAnsi" w:hAnsiTheme="majorHAnsi" w:cstheme="majorHAnsi"/>
                <w:sz w:val="22"/>
              </w:rPr>
              <w:t>onsider co-piloting sessions so that one person can manage the technology and online presence whilst the other drives delivery of the sessio</w:t>
            </w:r>
            <w:r w:rsidR="00624310">
              <w:rPr>
                <w:rFonts w:asciiTheme="majorHAnsi" w:hAnsiTheme="majorHAnsi" w:cstheme="majorHAnsi"/>
                <w:sz w:val="22"/>
              </w:rPr>
              <w:t>n.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14:paraId="5C99C4FF" w14:textId="3CB426CC" w:rsidR="003F3B4A" w:rsidRPr="00055629" w:rsidRDefault="00AE3C03" w:rsidP="009D72F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Does the room have </w:t>
            </w:r>
            <w:r w:rsidR="00624310">
              <w:rPr>
                <w:rFonts w:asciiTheme="majorHAnsi" w:hAnsiTheme="majorHAnsi" w:cstheme="majorHAnsi"/>
                <w:sz w:val="22"/>
              </w:rPr>
              <w:t>a set-up</w:t>
            </w:r>
            <w:r>
              <w:rPr>
                <w:rFonts w:asciiTheme="majorHAnsi" w:hAnsiTheme="majorHAnsi" w:cstheme="majorHAnsi"/>
                <w:sz w:val="22"/>
              </w:rPr>
              <w:t xml:space="preserve"> that will allow the online session to be visible alongside the </w:t>
            </w:r>
            <w:r w:rsidR="00624310">
              <w:rPr>
                <w:rFonts w:asciiTheme="majorHAnsi" w:hAnsiTheme="majorHAnsi" w:cstheme="majorHAnsi"/>
                <w:sz w:val="22"/>
              </w:rPr>
              <w:t>session materials</w:t>
            </w:r>
            <w:r w:rsidR="004620F5">
              <w:rPr>
                <w:rFonts w:asciiTheme="majorHAnsi" w:hAnsiTheme="majorHAnsi" w:cstheme="majorHAnsi"/>
                <w:sz w:val="22"/>
              </w:rPr>
              <w:t>?</w:t>
            </w:r>
            <w:r w:rsidR="00F96EC4">
              <w:rPr>
                <w:rFonts w:asciiTheme="majorHAnsi" w:hAnsiTheme="majorHAnsi" w:cstheme="majorHAnsi"/>
                <w:sz w:val="22"/>
              </w:rPr>
              <w:t xml:space="preserve"> D</w:t>
            </w:r>
            <w:r w:rsidR="00624310">
              <w:rPr>
                <w:rFonts w:asciiTheme="majorHAnsi" w:hAnsiTheme="majorHAnsi" w:cstheme="majorHAnsi"/>
                <w:sz w:val="22"/>
              </w:rPr>
              <w:t>o not assume it does</w:t>
            </w:r>
            <w:r w:rsidR="00F96EC4">
              <w:rPr>
                <w:rFonts w:asciiTheme="majorHAnsi" w:hAnsiTheme="majorHAnsi" w:cstheme="majorHAnsi"/>
                <w:sz w:val="22"/>
              </w:rPr>
              <w:t>.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E0556D" w:rsidRPr="00055629">
              <w:rPr>
                <w:rStyle w:val="normaltextrun"/>
                <w:rFonts w:asciiTheme="majorHAnsi" w:hAnsiTheme="majorHAnsi" w:cstheme="majorHAnsi"/>
                <w:sz w:val="22"/>
              </w:rPr>
              <w:t>Establish</w:t>
            </w:r>
            <w:r w:rsidR="00E33DD0" w:rsidRPr="00055629">
              <w:rPr>
                <w:rStyle w:val="normaltextrun"/>
                <w:rFonts w:asciiTheme="majorHAnsi" w:hAnsiTheme="majorHAnsi" w:cstheme="majorHAnsi"/>
                <w:sz w:val="22"/>
              </w:rPr>
              <w:t xml:space="preserve"> ground rules, </w:t>
            </w:r>
            <w:r w:rsidR="00E0556D" w:rsidRPr="00055629">
              <w:rPr>
                <w:rStyle w:val="normaltextrun"/>
                <w:rFonts w:asciiTheme="majorHAnsi" w:hAnsiTheme="majorHAnsi" w:cstheme="majorHAnsi"/>
                <w:sz w:val="22"/>
              </w:rPr>
              <w:t xml:space="preserve">provide </w:t>
            </w:r>
            <w:proofErr w:type="gramStart"/>
            <w:r w:rsidR="00E0556D" w:rsidRPr="00055629">
              <w:rPr>
                <w:rStyle w:val="normaltextrun"/>
                <w:rFonts w:asciiTheme="majorHAnsi" w:hAnsiTheme="majorHAnsi" w:cstheme="majorHAnsi"/>
                <w:sz w:val="22"/>
              </w:rPr>
              <w:t>prior warning</w:t>
            </w:r>
            <w:proofErr w:type="gramEnd"/>
            <w:r w:rsid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and </w:t>
            </w:r>
            <w:r w:rsidR="00E0556D" w:rsidRPr="00055629">
              <w:rPr>
                <w:rStyle w:val="normaltextrun"/>
                <w:rFonts w:asciiTheme="majorHAnsi" w:hAnsiTheme="majorHAnsi" w:cstheme="majorHAnsi"/>
                <w:sz w:val="22"/>
              </w:rPr>
              <w:t xml:space="preserve">introductions and </w:t>
            </w:r>
            <w:r w:rsidR="00E33DD0" w:rsidRPr="00055629">
              <w:rPr>
                <w:rStyle w:val="normaltextrun"/>
                <w:rFonts w:asciiTheme="majorHAnsi" w:hAnsiTheme="majorHAnsi" w:cstheme="majorHAnsi"/>
                <w:sz w:val="22"/>
              </w:rPr>
              <w:t>tools to support engagement</w:t>
            </w:r>
            <w:r w:rsidR="00EE3E84" w:rsidRPr="00055629">
              <w:rPr>
                <w:rStyle w:val="normaltextrun"/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E0556D" w:rsidRPr="001F4177" w14:paraId="2C9D8D12" w14:textId="12273FFC" w:rsidTr="00F96EC4">
        <w:tc>
          <w:tcPr>
            <w:tcW w:w="1555" w:type="dxa"/>
            <w:shd w:val="clear" w:color="auto" w:fill="D3CBE6"/>
          </w:tcPr>
          <w:p w14:paraId="7497487B" w14:textId="3CB53E2A" w:rsidR="003F3B4A" w:rsidRPr="00055629" w:rsidRDefault="00357417">
            <w:pPr>
              <w:rPr>
                <w:rFonts w:asciiTheme="majorHAnsi" w:hAnsiTheme="majorHAnsi" w:cstheme="majorHAnsi"/>
              </w:rPr>
            </w:pPr>
            <w:r w:rsidRPr="00055629">
              <w:rPr>
                <w:rFonts w:asciiTheme="majorHAnsi" w:hAnsiTheme="majorHAnsi" w:cstheme="majorHAnsi"/>
                <w:b/>
              </w:rPr>
              <w:t xml:space="preserve">3. All students </w:t>
            </w:r>
            <w:r w:rsidR="004A7313">
              <w:rPr>
                <w:rFonts w:asciiTheme="majorHAnsi" w:hAnsiTheme="majorHAnsi" w:cstheme="majorHAnsi"/>
                <w:b/>
              </w:rPr>
              <w:t xml:space="preserve">(and staff) </w:t>
            </w:r>
            <w:r w:rsidRPr="00055629">
              <w:rPr>
                <w:rFonts w:asciiTheme="majorHAnsi" w:hAnsiTheme="majorHAnsi" w:cstheme="majorHAnsi"/>
                <w:b/>
              </w:rPr>
              <w:t>should be s</w:t>
            </w:r>
            <w:r w:rsidR="003F3B4A" w:rsidRPr="00055629">
              <w:rPr>
                <w:rFonts w:asciiTheme="majorHAnsi" w:hAnsiTheme="majorHAnsi" w:cstheme="majorHAnsi"/>
                <w:b/>
              </w:rPr>
              <w:t>upport</w:t>
            </w:r>
            <w:r w:rsidRPr="00055629">
              <w:rPr>
                <w:rFonts w:asciiTheme="majorHAnsi" w:hAnsiTheme="majorHAnsi" w:cstheme="majorHAnsi"/>
                <w:b/>
              </w:rPr>
              <w:t>ed</w:t>
            </w:r>
          </w:p>
        </w:tc>
        <w:tc>
          <w:tcPr>
            <w:tcW w:w="2693" w:type="dxa"/>
          </w:tcPr>
          <w:p w14:paraId="2A87814D" w14:textId="089FA7F8" w:rsidR="003F3B4A" w:rsidRPr="00F96EC4" w:rsidRDefault="00873038" w:rsidP="4E2C568E">
            <w:pPr>
              <w:rPr>
                <w:rStyle w:val="Hyperlink"/>
                <w:rFonts w:asciiTheme="majorHAnsi" w:hAnsiTheme="majorHAnsi" w:cstheme="majorHAnsi"/>
              </w:rPr>
            </w:pPr>
            <w:r w:rsidRPr="00F96EC4">
              <w:rPr>
                <w:rFonts w:asciiTheme="majorHAnsi" w:hAnsiTheme="majorHAnsi" w:cstheme="majorHAnsi"/>
              </w:rPr>
              <w:t xml:space="preserve">Have you considered how </w:t>
            </w:r>
            <w:r w:rsidR="00E56B8E" w:rsidRPr="00F96EC4">
              <w:rPr>
                <w:rFonts w:asciiTheme="majorHAnsi" w:hAnsiTheme="majorHAnsi" w:cstheme="majorHAnsi"/>
              </w:rPr>
              <w:t xml:space="preserve">you will </w:t>
            </w:r>
            <w:r w:rsidR="006F4741" w:rsidRPr="00F96EC4">
              <w:rPr>
                <w:rFonts w:asciiTheme="majorHAnsi" w:hAnsiTheme="majorHAnsi" w:cstheme="majorHAnsi"/>
              </w:rPr>
              <w:t>make you</w:t>
            </w:r>
            <w:r w:rsidR="00E0264E">
              <w:rPr>
                <w:rFonts w:asciiTheme="majorHAnsi" w:hAnsiTheme="majorHAnsi" w:cstheme="majorHAnsi"/>
              </w:rPr>
              <w:t>r</w:t>
            </w:r>
            <w:r w:rsidR="006F4741" w:rsidRPr="00F96EC4">
              <w:rPr>
                <w:rFonts w:asciiTheme="majorHAnsi" w:hAnsiTheme="majorHAnsi" w:cstheme="majorHAnsi"/>
              </w:rPr>
              <w:t xml:space="preserve"> sessions accessible and inclusive to all your students, including those with additional needs</w:t>
            </w:r>
            <w:r w:rsidR="000272DF" w:rsidRPr="00F96EC4">
              <w:rPr>
                <w:rFonts w:asciiTheme="majorHAnsi" w:hAnsiTheme="majorHAnsi" w:cstheme="majorHAnsi"/>
              </w:rPr>
              <w:t>?</w:t>
            </w:r>
            <w:r w:rsidR="00E9242B" w:rsidRPr="00F96EC4">
              <w:rPr>
                <w:rFonts w:asciiTheme="majorHAnsi" w:hAnsiTheme="majorHAnsi" w:cstheme="majorHAnsi"/>
              </w:rPr>
              <w:t xml:space="preserve"> </w:t>
            </w:r>
            <w:hyperlink w:anchor="_Resources" w:history="1">
              <w:r w:rsidR="00E9242B" w:rsidRPr="00F96EC4">
                <w:rPr>
                  <w:rStyle w:val="Hyperlink"/>
                  <w:rFonts w:asciiTheme="majorHAnsi" w:hAnsiTheme="majorHAnsi" w:cstheme="majorHAnsi"/>
                </w:rPr>
                <w:t>More information</w:t>
              </w:r>
            </w:hyperlink>
          </w:p>
          <w:p w14:paraId="6AC4922A" w14:textId="489A18C6" w:rsidR="00AE3C03" w:rsidRPr="00F96EC4" w:rsidRDefault="00AE3C03" w:rsidP="4E2C56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12283C4A" w14:textId="6FFB82A6" w:rsidR="003F3B4A" w:rsidRPr="00F96EC4" w:rsidRDefault="00B76125">
            <w:pPr>
              <w:rPr>
                <w:rFonts w:asciiTheme="majorHAnsi" w:hAnsiTheme="majorHAnsi" w:cstheme="majorHAnsi"/>
              </w:rPr>
            </w:pPr>
            <w:r w:rsidRPr="00F96EC4">
              <w:rPr>
                <w:rFonts w:asciiTheme="majorHAnsi" w:hAnsiTheme="majorHAnsi" w:cstheme="majorHAnsi"/>
              </w:rPr>
              <w:t xml:space="preserve">How will you support </w:t>
            </w:r>
            <w:r w:rsidR="00C87F3D" w:rsidRPr="00F96EC4">
              <w:rPr>
                <w:rFonts w:asciiTheme="majorHAnsi" w:hAnsiTheme="majorHAnsi" w:cstheme="majorHAnsi"/>
              </w:rPr>
              <w:t>students who are uncomfortable about speaking out</w:t>
            </w:r>
            <w:r w:rsidR="00E0264E">
              <w:rPr>
                <w:rFonts w:asciiTheme="majorHAnsi" w:hAnsiTheme="majorHAnsi" w:cstheme="majorHAnsi"/>
              </w:rPr>
              <w:t>,</w:t>
            </w:r>
            <w:r w:rsidR="00C87F3D" w:rsidRPr="00F96EC4">
              <w:rPr>
                <w:rFonts w:asciiTheme="majorHAnsi" w:hAnsiTheme="majorHAnsi" w:cstheme="majorHAnsi"/>
              </w:rPr>
              <w:t xml:space="preserve"> to</w:t>
            </w:r>
            <w:r w:rsidR="009575D4" w:rsidRPr="00F96EC4">
              <w:rPr>
                <w:rFonts w:asciiTheme="majorHAnsi" w:hAnsiTheme="majorHAnsi" w:cstheme="majorHAnsi"/>
              </w:rPr>
              <w:t xml:space="preserve"> fully</w:t>
            </w:r>
            <w:r w:rsidR="00C87F3D" w:rsidRPr="00F96EC4">
              <w:rPr>
                <w:rFonts w:asciiTheme="majorHAnsi" w:hAnsiTheme="majorHAnsi" w:cstheme="majorHAnsi"/>
              </w:rPr>
              <w:t xml:space="preserve"> participate</w:t>
            </w:r>
            <w:r w:rsidR="009575D4" w:rsidRPr="00F96EC4">
              <w:rPr>
                <w:rFonts w:asciiTheme="majorHAnsi" w:hAnsiTheme="majorHAnsi" w:cstheme="majorHAnsi"/>
              </w:rPr>
              <w:t xml:space="preserve"> in a hybrid environment</w:t>
            </w:r>
            <w:r w:rsidR="00C87F3D" w:rsidRPr="00F96EC4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3119" w:type="dxa"/>
          </w:tcPr>
          <w:p w14:paraId="3F110083" w14:textId="28723AB1" w:rsidR="003F3B4A" w:rsidRPr="00F96EC4" w:rsidRDefault="001A5E80" w:rsidP="4E2C56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</w:rPr>
            </w:pPr>
            <w:r w:rsidRPr="00F96EC4">
              <w:rPr>
                <w:rStyle w:val="eop"/>
                <w:rFonts w:asciiTheme="majorHAnsi" w:hAnsiTheme="majorHAnsi" w:cstheme="majorHAnsi"/>
                <w:sz w:val="22"/>
              </w:rPr>
              <w:t xml:space="preserve">Have you </w:t>
            </w:r>
            <w:r w:rsidR="00C4593B" w:rsidRPr="00F96EC4">
              <w:rPr>
                <w:rStyle w:val="eop"/>
                <w:rFonts w:asciiTheme="majorHAnsi" w:hAnsiTheme="majorHAnsi" w:cstheme="majorHAnsi"/>
                <w:sz w:val="22"/>
              </w:rPr>
              <w:t>provided</w:t>
            </w:r>
            <w:r w:rsidR="00073555" w:rsidRPr="00F96EC4">
              <w:rPr>
                <w:rStyle w:val="eop"/>
                <w:rFonts w:asciiTheme="majorHAnsi" w:hAnsiTheme="majorHAnsi" w:cstheme="majorHAnsi"/>
                <w:sz w:val="22"/>
              </w:rPr>
              <w:t xml:space="preserve"> advanced information</w:t>
            </w:r>
            <w:r w:rsidR="00365AD3" w:rsidRPr="00F96EC4">
              <w:rPr>
                <w:rStyle w:val="eop"/>
                <w:rFonts w:asciiTheme="majorHAnsi" w:hAnsiTheme="majorHAnsi" w:cstheme="majorHAnsi"/>
                <w:sz w:val="22"/>
              </w:rPr>
              <w:t xml:space="preserve"> on</w:t>
            </w:r>
            <w:r w:rsidR="00073555" w:rsidRPr="00F96EC4">
              <w:rPr>
                <w:rStyle w:val="eop"/>
                <w:rFonts w:asciiTheme="majorHAnsi" w:hAnsiTheme="majorHAnsi" w:cstheme="majorHAnsi"/>
                <w:sz w:val="22"/>
              </w:rPr>
              <w:t xml:space="preserve"> the</w:t>
            </w:r>
            <w:r w:rsidR="00406F60" w:rsidRPr="00F96EC4">
              <w:rPr>
                <w:rStyle w:val="eop"/>
                <w:rFonts w:asciiTheme="majorHAnsi" w:hAnsiTheme="majorHAnsi" w:cstheme="majorHAnsi"/>
                <w:sz w:val="22"/>
              </w:rPr>
              <w:t xml:space="preserve"> accessibility tools available on your chosen platform</w:t>
            </w:r>
            <w:r w:rsidR="00073555" w:rsidRPr="00F96EC4">
              <w:rPr>
                <w:rStyle w:val="eop"/>
                <w:rFonts w:asciiTheme="majorHAnsi" w:hAnsiTheme="majorHAnsi" w:cstheme="majorHAnsi"/>
                <w:sz w:val="22"/>
              </w:rPr>
              <w:t xml:space="preserve"> and</w:t>
            </w:r>
            <w:r w:rsidR="00365AD3" w:rsidRPr="00F96EC4">
              <w:rPr>
                <w:rStyle w:val="eop"/>
                <w:rFonts w:asciiTheme="majorHAnsi" w:hAnsiTheme="majorHAnsi" w:cstheme="majorHAnsi"/>
                <w:sz w:val="22"/>
              </w:rPr>
              <w:t xml:space="preserve"> where to get assistance </w:t>
            </w:r>
            <w:r w:rsidR="004C14E5" w:rsidRPr="00F96EC4">
              <w:rPr>
                <w:rStyle w:val="eop"/>
                <w:rFonts w:asciiTheme="majorHAnsi" w:hAnsiTheme="majorHAnsi" w:cstheme="majorHAnsi"/>
                <w:sz w:val="22"/>
              </w:rPr>
              <w:t>if your students have connection issues in a session</w:t>
            </w:r>
            <w:r w:rsidR="00C4593B" w:rsidRPr="00F96EC4">
              <w:rPr>
                <w:rStyle w:val="eop"/>
                <w:rFonts w:asciiTheme="majorHAnsi" w:hAnsiTheme="majorHAnsi" w:cstheme="majorHAnsi"/>
                <w:sz w:val="22"/>
              </w:rPr>
              <w:t xml:space="preserve">? </w:t>
            </w:r>
            <w:r w:rsidR="00AE3C03" w:rsidRPr="00F96EC4">
              <w:rPr>
                <w:rStyle w:val="eop"/>
                <w:rFonts w:asciiTheme="majorHAnsi" w:hAnsiTheme="majorHAnsi" w:cstheme="majorHAnsi"/>
                <w:sz w:val="22"/>
              </w:rPr>
              <w:t xml:space="preserve"> </w:t>
            </w:r>
          </w:p>
          <w:p w14:paraId="4A4044EC" w14:textId="77777777" w:rsidR="003F3B4A" w:rsidRPr="00F96EC4" w:rsidRDefault="003F3B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22" w:type="dxa"/>
          </w:tcPr>
          <w:p w14:paraId="2D6ED881" w14:textId="01E15550" w:rsidR="00E0264E" w:rsidRPr="00CE241D" w:rsidRDefault="00AE3C03" w:rsidP="009D72F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F96EC4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  <w:t>Does your timetabled room support you</w:t>
            </w:r>
            <w:r w:rsidR="00B045B7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  <w:t>r</w:t>
            </w:r>
            <w:r w:rsidRPr="00F96EC4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  <w:t xml:space="preserve"> nee</w:t>
            </w:r>
            <w:r w:rsidR="00CE241D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  <w:t>d</w:t>
            </w:r>
            <w:r w:rsidR="00B045B7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  <w:t>s</w:t>
            </w:r>
            <w:r w:rsidRPr="00F96EC4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  <w:t xml:space="preserve">? It should not be </w:t>
            </w:r>
            <w:r w:rsidRPr="00CE241D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  <w:t xml:space="preserve">assumed </w:t>
            </w:r>
            <w:r w:rsidR="00CE241D" w:rsidRPr="00CE241D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  <w:t xml:space="preserve">the </w:t>
            </w:r>
            <w:r w:rsidR="00F96EC4" w:rsidRPr="00CE241D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  <w:t>required</w:t>
            </w:r>
            <w:r w:rsidRPr="00CE241D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  <w:t xml:space="preserve"> technology is available.</w:t>
            </w:r>
            <w:r w:rsidRPr="00CE24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B0C58AC" w14:textId="534F8A06" w:rsidR="00AE3C03" w:rsidRPr="00F96EC4" w:rsidRDefault="00AE3C03" w:rsidP="009D72FB">
            <w:pPr>
              <w:pStyle w:val="paragraph"/>
              <w:spacing w:before="0" w:beforeAutospacing="0" w:after="0" w:afterAutospacing="0"/>
              <w:textAlignment w:val="baseline"/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</w:pPr>
            <w:r w:rsidRPr="00CE24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Share guides on accessibility tools built into platforms</w:t>
            </w:r>
            <w:r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and L</w:t>
            </w:r>
            <w:r w:rsidR="008A5778"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ibrary</w:t>
            </w:r>
            <w:r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technical support</w:t>
            </w:r>
          </w:p>
          <w:p w14:paraId="06CE55C1" w14:textId="0B76B564" w:rsidR="003F3B4A" w:rsidRPr="00055629" w:rsidRDefault="00AE3C03" w:rsidP="4E2C568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</w:rPr>
            </w:pPr>
            <w:r w:rsidRPr="00F96EC4">
              <w:rPr>
                <w:rFonts w:asciiTheme="majorHAnsi" w:hAnsiTheme="majorHAnsi" w:cstheme="majorHAnsi"/>
                <w:sz w:val="22"/>
                <w:szCs w:val="22"/>
              </w:rPr>
              <w:t xml:space="preserve">Consider </w:t>
            </w:r>
            <w:r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o</w:t>
            </w:r>
            <w:r w:rsidR="009B2F1B"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ffer</w:t>
            </w:r>
            <w:r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ing</w:t>
            </w:r>
            <w:r w:rsidR="009B2F1B"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both F2F and online tutorials for all students</w:t>
            </w:r>
            <w:r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, having </w:t>
            </w:r>
            <w:r w:rsidR="002E4067"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a</w:t>
            </w:r>
            <w:r w:rsidR="00E0556D"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n</w:t>
            </w:r>
            <w:r w:rsidR="002E4067"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0556D"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online </w:t>
            </w:r>
            <w:r w:rsidR="002E4067"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discussion area for students to post </w:t>
            </w:r>
            <w:r w:rsidR="00F67A9F"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queries</w:t>
            </w:r>
            <w:r w:rsidR="00D079F9"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="00F67A9F"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nd</w:t>
            </w:r>
            <w:r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o</w:t>
            </w:r>
            <w:r w:rsidR="007A4349"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ffer</w:t>
            </w:r>
            <w:r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ing</w:t>
            </w:r>
            <w:r w:rsidR="007A4349"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607D5"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paired/small group work to intro</w:t>
            </w:r>
            <w:r w:rsidR="00402FD6"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duce students to</w:t>
            </w:r>
            <w:r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02FD6" w:rsidRPr="00F96EC4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presenting to others.</w:t>
            </w:r>
            <w:r w:rsidR="00402FD6" w:rsidRP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E0556D" w:rsidRPr="001F4177" w14:paraId="5812C20D" w14:textId="34BC9139" w:rsidTr="00F96EC4">
        <w:tc>
          <w:tcPr>
            <w:tcW w:w="1555" w:type="dxa"/>
            <w:shd w:val="clear" w:color="auto" w:fill="AFD3F0"/>
          </w:tcPr>
          <w:p w14:paraId="3339A922" w14:textId="469A22DD" w:rsidR="003F3B4A" w:rsidRPr="00055629" w:rsidRDefault="00357417">
            <w:pPr>
              <w:rPr>
                <w:rFonts w:asciiTheme="majorHAnsi" w:hAnsiTheme="majorHAnsi" w:cstheme="majorHAnsi"/>
                <w:b/>
              </w:rPr>
            </w:pPr>
            <w:r w:rsidRPr="00055629">
              <w:rPr>
                <w:rFonts w:asciiTheme="majorHAnsi" w:hAnsiTheme="majorHAnsi" w:cstheme="majorHAnsi"/>
                <w:b/>
              </w:rPr>
              <w:t>4. T</w:t>
            </w:r>
            <w:r w:rsidR="003F3B4A" w:rsidRPr="00055629">
              <w:rPr>
                <w:rFonts w:asciiTheme="majorHAnsi" w:hAnsiTheme="majorHAnsi" w:cstheme="majorHAnsi"/>
                <w:b/>
              </w:rPr>
              <w:t>he</w:t>
            </w:r>
            <w:r w:rsidRPr="00055629">
              <w:rPr>
                <w:rFonts w:asciiTheme="majorHAnsi" w:hAnsiTheme="majorHAnsi" w:cstheme="majorHAnsi"/>
                <w:b/>
              </w:rPr>
              <w:t xml:space="preserve"> whole </w:t>
            </w:r>
            <w:r w:rsidR="003F3B4A" w:rsidRPr="00055629">
              <w:rPr>
                <w:rFonts w:asciiTheme="majorHAnsi" w:hAnsiTheme="majorHAnsi" w:cstheme="majorHAnsi"/>
                <w:b/>
              </w:rPr>
              <w:t>hybrid learning community</w:t>
            </w:r>
            <w:r w:rsidRPr="00055629">
              <w:rPr>
                <w:rFonts w:asciiTheme="majorHAnsi" w:hAnsiTheme="majorHAnsi" w:cstheme="majorHAnsi"/>
                <w:b/>
              </w:rPr>
              <w:t xml:space="preserve"> </w:t>
            </w:r>
            <w:r w:rsidRPr="00055629">
              <w:rPr>
                <w:rFonts w:asciiTheme="majorHAnsi" w:hAnsiTheme="majorHAnsi" w:cstheme="majorHAnsi"/>
                <w:b/>
              </w:rPr>
              <w:lastRenderedPageBreak/>
              <w:t>should be sustained</w:t>
            </w:r>
          </w:p>
        </w:tc>
        <w:tc>
          <w:tcPr>
            <w:tcW w:w="2693" w:type="dxa"/>
          </w:tcPr>
          <w:p w14:paraId="785C02AB" w14:textId="56A3430A" w:rsidR="003F3B4A" w:rsidRPr="00F96EC4" w:rsidRDefault="003F3B4A" w:rsidP="009D72F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</w:rPr>
            </w:pPr>
            <w:r w:rsidRPr="00F96EC4">
              <w:rPr>
                <w:rStyle w:val="normaltextrun"/>
                <w:rFonts w:asciiTheme="majorHAnsi" w:hAnsiTheme="majorHAnsi" w:cstheme="majorHAnsi"/>
                <w:sz w:val="22"/>
              </w:rPr>
              <w:lastRenderedPageBreak/>
              <w:t>How will you build and sustain</w:t>
            </w:r>
            <w:r w:rsidR="00181803" w:rsidRP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peer</w:t>
            </w:r>
            <w:r w:rsidR="00974F92" w:rsidRP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</w:t>
            </w:r>
            <w:r w:rsidR="00181803" w:rsidRPr="00F96EC4">
              <w:rPr>
                <w:rStyle w:val="normaltextrun"/>
                <w:rFonts w:asciiTheme="majorHAnsi" w:hAnsiTheme="majorHAnsi" w:cstheme="majorHAnsi"/>
                <w:sz w:val="22"/>
              </w:rPr>
              <w:t>support and</w:t>
            </w:r>
            <w:r w:rsidRP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a</w:t>
            </w:r>
            <w:r w:rsidR="00181803" w:rsidRP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learning</w:t>
            </w:r>
            <w:r w:rsidRP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community on your </w:t>
            </w:r>
            <w:r w:rsidRPr="00F96EC4">
              <w:rPr>
                <w:rStyle w:val="normaltextrun"/>
                <w:rFonts w:asciiTheme="majorHAnsi" w:hAnsiTheme="majorHAnsi" w:cstheme="majorHAnsi"/>
                <w:sz w:val="22"/>
              </w:rPr>
              <w:lastRenderedPageBreak/>
              <w:t>course/module</w:t>
            </w:r>
            <w:r w:rsidR="00181803" w:rsidRPr="00F96EC4">
              <w:rPr>
                <w:rStyle w:val="normaltextrun"/>
                <w:rFonts w:asciiTheme="majorHAnsi" w:hAnsiTheme="majorHAnsi" w:cstheme="majorHAnsi"/>
                <w:sz w:val="22"/>
              </w:rPr>
              <w:t>/session</w:t>
            </w:r>
            <w:r w:rsidRPr="00F96EC4">
              <w:rPr>
                <w:rStyle w:val="normaltextrun"/>
                <w:rFonts w:asciiTheme="majorHAnsi" w:hAnsiTheme="majorHAnsi" w:cstheme="majorHAnsi"/>
                <w:sz w:val="22"/>
              </w:rPr>
              <w:t xml:space="preserve"> between the different cohorts of students?</w:t>
            </w:r>
          </w:p>
          <w:p w14:paraId="461A3CAA" w14:textId="3A00B86E" w:rsidR="003F3B4A" w:rsidRPr="00F96EC4" w:rsidRDefault="003F3B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77963240" w14:textId="3D2F15D9" w:rsidR="003F3B4A" w:rsidRPr="00F96EC4" w:rsidRDefault="00E56B8E">
            <w:pPr>
              <w:rPr>
                <w:rFonts w:asciiTheme="majorHAnsi" w:hAnsiTheme="majorHAnsi" w:cstheme="majorHAnsi"/>
              </w:rPr>
            </w:pPr>
            <w:r w:rsidRPr="00F96EC4">
              <w:rPr>
                <w:rFonts w:asciiTheme="majorHAnsi" w:hAnsiTheme="majorHAnsi" w:cstheme="majorHAnsi"/>
              </w:rPr>
              <w:lastRenderedPageBreak/>
              <w:t xml:space="preserve">How will you </w:t>
            </w:r>
            <w:r w:rsidR="004A7313" w:rsidRPr="00F96EC4">
              <w:rPr>
                <w:rFonts w:asciiTheme="majorHAnsi" w:hAnsiTheme="majorHAnsi" w:cstheme="majorHAnsi"/>
              </w:rPr>
              <w:t>ensure that running the online session does not detract from the in</w:t>
            </w:r>
            <w:r w:rsidR="00F677A9">
              <w:rPr>
                <w:rFonts w:asciiTheme="majorHAnsi" w:hAnsiTheme="majorHAnsi" w:cstheme="majorHAnsi"/>
              </w:rPr>
              <w:t>-</w:t>
            </w:r>
            <w:r w:rsidR="004A7313" w:rsidRPr="00F96EC4">
              <w:rPr>
                <w:rFonts w:asciiTheme="majorHAnsi" w:hAnsiTheme="majorHAnsi" w:cstheme="majorHAnsi"/>
              </w:rPr>
              <w:t xml:space="preserve">room </w:t>
            </w:r>
            <w:r w:rsidR="00974F92" w:rsidRPr="00F96EC4">
              <w:rPr>
                <w:rFonts w:asciiTheme="majorHAnsi" w:hAnsiTheme="majorHAnsi" w:cstheme="majorHAnsi"/>
              </w:rPr>
              <w:t>experience</w:t>
            </w:r>
            <w:r w:rsidR="004A7313" w:rsidRPr="00F96EC4">
              <w:rPr>
                <w:rFonts w:asciiTheme="majorHAnsi" w:hAnsiTheme="majorHAnsi" w:cstheme="majorHAnsi"/>
              </w:rPr>
              <w:t xml:space="preserve">? How will you </w:t>
            </w:r>
            <w:r w:rsidRPr="00F96EC4">
              <w:rPr>
                <w:rFonts w:asciiTheme="majorHAnsi" w:hAnsiTheme="majorHAnsi" w:cstheme="majorHAnsi"/>
              </w:rPr>
              <w:lastRenderedPageBreak/>
              <w:t>encourage F2F students to engage in the online space? Have you designed activities to be done online between sessions to encourage them into this space?</w:t>
            </w:r>
          </w:p>
        </w:tc>
        <w:tc>
          <w:tcPr>
            <w:tcW w:w="3119" w:type="dxa"/>
          </w:tcPr>
          <w:p w14:paraId="1E045D61" w14:textId="2790C1EB" w:rsidR="003F3B4A" w:rsidRPr="00F96EC4" w:rsidRDefault="0074151D">
            <w:pPr>
              <w:rPr>
                <w:rFonts w:asciiTheme="majorHAnsi" w:hAnsiTheme="majorHAnsi" w:cstheme="majorHAnsi"/>
              </w:rPr>
            </w:pPr>
            <w:r w:rsidRPr="00F96EC4">
              <w:rPr>
                <w:rFonts w:asciiTheme="majorHAnsi" w:hAnsiTheme="majorHAnsi" w:cstheme="majorHAnsi"/>
              </w:rPr>
              <w:lastRenderedPageBreak/>
              <w:t xml:space="preserve">How will you </w:t>
            </w:r>
            <w:r w:rsidR="00D023EC" w:rsidRPr="00F96EC4">
              <w:rPr>
                <w:rFonts w:asciiTheme="majorHAnsi" w:hAnsiTheme="majorHAnsi" w:cstheme="majorHAnsi"/>
              </w:rPr>
              <w:t xml:space="preserve">design activities to </w:t>
            </w:r>
            <w:r w:rsidR="00626778" w:rsidRPr="00F96EC4">
              <w:rPr>
                <w:rFonts w:asciiTheme="majorHAnsi" w:hAnsiTheme="majorHAnsi" w:cstheme="majorHAnsi"/>
              </w:rPr>
              <w:t xml:space="preserve">ensure online students have </w:t>
            </w:r>
            <w:r w:rsidR="00DA36F7" w:rsidRPr="00F96EC4">
              <w:rPr>
                <w:rFonts w:asciiTheme="majorHAnsi" w:hAnsiTheme="majorHAnsi" w:cstheme="majorHAnsi"/>
              </w:rPr>
              <w:t>a way to build relationships</w:t>
            </w:r>
            <w:r w:rsidR="00626778" w:rsidRPr="00F96EC4">
              <w:rPr>
                <w:rFonts w:asciiTheme="majorHAnsi" w:hAnsiTheme="majorHAnsi" w:cstheme="majorHAnsi"/>
              </w:rPr>
              <w:t xml:space="preserve"> </w:t>
            </w:r>
            <w:r w:rsidR="00DA36F7" w:rsidRPr="00F96EC4">
              <w:rPr>
                <w:rFonts w:asciiTheme="majorHAnsi" w:hAnsiTheme="majorHAnsi" w:cstheme="majorHAnsi"/>
              </w:rPr>
              <w:t xml:space="preserve">with </w:t>
            </w:r>
            <w:r w:rsidR="00DA36F7" w:rsidRPr="00F96EC4">
              <w:rPr>
                <w:rFonts w:asciiTheme="majorHAnsi" w:hAnsiTheme="majorHAnsi" w:cstheme="majorHAnsi"/>
              </w:rPr>
              <w:lastRenderedPageBreak/>
              <w:t xml:space="preserve">their peers and not to just complete </w:t>
            </w:r>
            <w:r w:rsidR="00D5393B" w:rsidRPr="00F96EC4">
              <w:rPr>
                <w:rFonts w:asciiTheme="majorHAnsi" w:hAnsiTheme="majorHAnsi" w:cstheme="majorHAnsi"/>
              </w:rPr>
              <w:t>module activities</w:t>
            </w:r>
            <w:r w:rsidR="00357417" w:rsidRPr="00F96EC4">
              <w:rPr>
                <w:rFonts w:asciiTheme="majorHAnsi" w:hAnsiTheme="majorHAnsi" w:cstheme="majorHAnsi"/>
              </w:rPr>
              <w:t>?</w:t>
            </w:r>
            <w:r w:rsidRPr="00F96EC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222" w:type="dxa"/>
          </w:tcPr>
          <w:p w14:paraId="648E2BAF" w14:textId="77777777" w:rsidR="00E0264E" w:rsidRDefault="004A7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Consider what all students need to see and hear to be able to fully engage in the session. </w:t>
            </w:r>
          </w:p>
          <w:p w14:paraId="411C15D1" w14:textId="7CDD80DF" w:rsidR="003F3B4A" w:rsidRPr="00055629" w:rsidRDefault="004A7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Ensure that the available technology supports </w:t>
            </w:r>
            <w:r w:rsidR="00B045B7">
              <w:rPr>
                <w:rFonts w:asciiTheme="majorHAnsi" w:hAnsiTheme="majorHAnsi" w:cstheme="majorHAnsi"/>
              </w:rPr>
              <w:t xml:space="preserve">the students’ identified </w:t>
            </w:r>
            <w:r>
              <w:rPr>
                <w:rFonts w:asciiTheme="majorHAnsi" w:hAnsiTheme="majorHAnsi" w:cstheme="majorHAnsi"/>
              </w:rPr>
              <w:t>needs and that you are appropriately familiar with its operation.  Consider</w:t>
            </w:r>
            <w:r w:rsidR="00E0556D" w:rsidRPr="0005562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</w:t>
            </w:r>
            <w:r w:rsidR="00345F0C" w:rsidRPr="00055629">
              <w:rPr>
                <w:rFonts w:asciiTheme="majorHAnsi" w:hAnsiTheme="majorHAnsi" w:cstheme="majorHAnsi"/>
              </w:rPr>
              <w:t>reat</w:t>
            </w:r>
            <w:r>
              <w:rPr>
                <w:rFonts w:asciiTheme="majorHAnsi" w:hAnsiTheme="majorHAnsi" w:cstheme="majorHAnsi"/>
              </w:rPr>
              <w:t>ing</w:t>
            </w:r>
            <w:r w:rsidR="00345F0C" w:rsidRPr="00055629">
              <w:rPr>
                <w:rFonts w:asciiTheme="majorHAnsi" w:hAnsiTheme="majorHAnsi" w:cstheme="majorHAnsi"/>
              </w:rPr>
              <w:t xml:space="preserve"> an MS Teams space or discussion board </w:t>
            </w:r>
            <w:r w:rsidR="00851E6B" w:rsidRPr="00055629">
              <w:rPr>
                <w:rFonts w:asciiTheme="majorHAnsi" w:hAnsiTheme="majorHAnsi" w:cstheme="majorHAnsi"/>
              </w:rPr>
              <w:t xml:space="preserve">for your course/module </w:t>
            </w:r>
            <w:r w:rsidR="00E0264E">
              <w:rPr>
                <w:rFonts w:asciiTheme="majorHAnsi" w:hAnsiTheme="majorHAnsi" w:cstheme="majorHAnsi"/>
              </w:rPr>
              <w:t xml:space="preserve">to which </w:t>
            </w:r>
            <w:r w:rsidR="00345F0C" w:rsidRPr="00055629">
              <w:rPr>
                <w:rFonts w:asciiTheme="majorHAnsi" w:hAnsiTheme="majorHAnsi" w:cstheme="majorHAnsi"/>
              </w:rPr>
              <w:t xml:space="preserve">you </w:t>
            </w:r>
            <w:r w:rsidR="00B84E4D" w:rsidRPr="00055629">
              <w:rPr>
                <w:rFonts w:asciiTheme="majorHAnsi" w:hAnsiTheme="majorHAnsi" w:cstheme="majorHAnsi"/>
              </w:rPr>
              <w:t xml:space="preserve">post regularly </w:t>
            </w:r>
            <w:r w:rsidR="008E34C9" w:rsidRPr="00055629">
              <w:rPr>
                <w:rFonts w:asciiTheme="majorHAnsi" w:hAnsiTheme="majorHAnsi" w:cstheme="majorHAnsi"/>
              </w:rPr>
              <w:t xml:space="preserve">before and after sessions, </w:t>
            </w:r>
            <w:r w:rsidR="00B84E4D" w:rsidRPr="00055629">
              <w:rPr>
                <w:rFonts w:asciiTheme="majorHAnsi" w:hAnsiTheme="majorHAnsi" w:cstheme="majorHAnsi"/>
              </w:rPr>
              <w:t>encourag</w:t>
            </w:r>
            <w:r>
              <w:rPr>
                <w:rFonts w:asciiTheme="majorHAnsi" w:hAnsiTheme="majorHAnsi" w:cstheme="majorHAnsi"/>
              </w:rPr>
              <w:t>ing</w:t>
            </w:r>
            <w:r w:rsidR="00B84E4D" w:rsidRPr="00055629">
              <w:rPr>
                <w:rFonts w:asciiTheme="majorHAnsi" w:hAnsiTheme="majorHAnsi" w:cstheme="majorHAnsi"/>
              </w:rPr>
              <w:t xml:space="preserve"> students to use regardless of which space you teach in. </w:t>
            </w:r>
          </w:p>
        </w:tc>
      </w:tr>
      <w:tr w:rsidR="00E0556D" w:rsidRPr="001F4177" w14:paraId="144CF58F" w14:textId="6D7DD228" w:rsidTr="00F96EC4">
        <w:tc>
          <w:tcPr>
            <w:tcW w:w="1555" w:type="dxa"/>
            <w:shd w:val="clear" w:color="auto" w:fill="D1E19B"/>
          </w:tcPr>
          <w:p w14:paraId="50F40995" w14:textId="77777777" w:rsidR="003F3B4A" w:rsidRDefault="00357417">
            <w:pPr>
              <w:rPr>
                <w:rFonts w:asciiTheme="majorHAnsi" w:hAnsiTheme="majorHAnsi" w:cstheme="majorHAnsi"/>
                <w:b/>
              </w:rPr>
            </w:pPr>
            <w:r w:rsidRPr="00055629">
              <w:rPr>
                <w:rFonts w:asciiTheme="majorHAnsi" w:hAnsiTheme="majorHAnsi" w:cstheme="majorHAnsi"/>
                <w:b/>
              </w:rPr>
              <w:lastRenderedPageBreak/>
              <w:t>5. All students</w:t>
            </w:r>
            <w:r w:rsidR="004A7313">
              <w:rPr>
                <w:rFonts w:asciiTheme="majorHAnsi" w:hAnsiTheme="majorHAnsi" w:cstheme="majorHAnsi"/>
                <w:b/>
              </w:rPr>
              <w:t xml:space="preserve"> (and staff)</w:t>
            </w:r>
            <w:r w:rsidRPr="00055629">
              <w:rPr>
                <w:rFonts w:asciiTheme="majorHAnsi" w:hAnsiTheme="majorHAnsi" w:cstheme="majorHAnsi"/>
                <w:b/>
              </w:rPr>
              <w:t xml:space="preserve"> should be provided with the opportunities to d</w:t>
            </w:r>
            <w:r w:rsidR="003F3B4A" w:rsidRPr="00055629">
              <w:rPr>
                <w:rFonts w:asciiTheme="majorHAnsi" w:hAnsiTheme="majorHAnsi" w:cstheme="majorHAnsi"/>
                <w:b/>
              </w:rPr>
              <w:t>evelop</w:t>
            </w:r>
          </w:p>
          <w:p w14:paraId="62AB4FDA" w14:textId="4B171E59" w:rsidR="0098756B" w:rsidRPr="0098756B" w:rsidRDefault="0098756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612343F2" w14:textId="6CFE62E6" w:rsidR="003F3B4A" w:rsidRPr="00F96EC4" w:rsidRDefault="00E56B8E">
            <w:pPr>
              <w:rPr>
                <w:rFonts w:asciiTheme="majorHAnsi" w:hAnsiTheme="majorHAnsi" w:cstheme="majorHAnsi"/>
              </w:rPr>
            </w:pPr>
            <w:r w:rsidRPr="00F96EC4">
              <w:rPr>
                <w:rFonts w:asciiTheme="majorHAnsi" w:hAnsiTheme="majorHAnsi" w:cstheme="majorHAnsi"/>
              </w:rPr>
              <w:t>How will you develop your students</w:t>
            </w:r>
            <w:r w:rsidR="00545613" w:rsidRPr="00F96EC4">
              <w:rPr>
                <w:rFonts w:asciiTheme="majorHAnsi" w:hAnsiTheme="majorHAnsi" w:cstheme="majorHAnsi"/>
              </w:rPr>
              <w:t>’ capabilities</w:t>
            </w:r>
            <w:r w:rsidRPr="00F96EC4">
              <w:rPr>
                <w:rFonts w:asciiTheme="majorHAnsi" w:hAnsiTheme="majorHAnsi" w:cstheme="majorHAnsi"/>
              </w:rPr>
              <w:t xml:space="preserve"> to </w:t>
            </w:r>
            <w:r w:rsidR="00F677A9">
              <w:rPr>
                <w:rFonts w:asciiTheme="majorHAnsi" w:hAnsiTheme="majorHAnsi" w:cstheme="majorHAnsi"/>
              </w:rPr>
              <w:t xml:space="preserve">successfully </w:t>
            </w:r>
            <w:r w:rsidR="00545613" w:rsidRPr="00F96EC4">
              <w:rPr>
                <w:rFonts w:asciiTheme="majorHAnsi" w:hAnsiTheme="majorHAnsi" w:cstheme="majorHAnsi"/>
              </w:rPr>
              <w:t>learn</w:t>
            </w:r>
            <w:r w:rsidRPr="00F96EC4">
              <w:rPr>
                <w:rFonts w:asciiTheme="majorHAnsi" w:hAnsiTheme="majorHAnsi" w:cstheme="majorHAnsi"/>
              </w:rPr>
              <w:t xml:space="preserve"> in both the physical and online environments</w:t>
            </w:r>
            <w:r w:rsidR="00545613" w:rsidRPr="00F96EC4">
              <w:rPr>
                <w:rFonts w:asciiTheme="majorHAnsi" w:hAnsiTheme="majorHAnsi" w:cstheme="majorHAnsi"/>
              </w:rPr>
              <w:t>?</w:t>
            </w:r>
            <w:r w:rsidRPr="00F96EC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260" w:type="dxa"/>
          </w:tcPr>
          <w:p w14:paraId="20F28E61" w14:textId="3D4743C2" w:rsidR="003F3B4A" w:rsidRPr="00F96EC4" w:rsidRDefault="00E4332E" w:rsidP="4E2C568E">
            <w:pPr>
              <w:rPr>
                <w:rFonts w:asciiTheme="majorHAnsi" w:hAnsiTheme="majorHAnsi" w:cstheme="majorHAnsi"/>
              </w:rPr>
            </w:pPr>
            <w:r w:rsidRPr="00F96EC4">
              <w:rPr>
                <w:rFonts w:asciiTheme="majorHAnsi" w:hAnsiTheme="majorHAnsi" w:cstheme="majorHAnsi"/>
              </w:rPr>
              <w:t xml:space="preserve">How will your </w:t>
            </w:r>
            <w:r w:rsidR="00545613" w:rsidRPr="00F96EC4">
              <w:rPr>
                <w:rFonts w:asciiTheme="majorHAnsi" w:hAnsiTheme="majorHAnsi" w:cstheme="majorHAnsi"/>
              </w:rPr>
              <w:t>F2F</w:t>
            </w:r>
            <w:r w:rsidRPr="00F96EC4">
              <w:rPr>
                <w:rFonts w:asciiTheme="majorHAnsi" w:hAnsiTheme="majorHAnsi" w:cstheme="majorHAnsi"/>
              </w:rPr>
              <w:t xml:space="preserve"> students </w:t>
            </w:r>
            <w:r w:rsidR="00F677A9">
              <w:rPr>
                <w:rFonts w:asciiTheme="majorHAnsi" w:hAnsiTheme="majorHAnsi" w:cstheme="majorHAnsi"/>
              </w:rPr>
              <w:t xml:space="preserve">(who </w:t>
            </w:r>
            <w:r w:rsidR="00F677A9" w:rsidRPr="00F96EC4">
              <w:rPr>
                <w:rFonts w:asciiTheme="majorHAnsi" w:hAnsiTheme="majorHAnsi" w:cstheme="majorHAnsi"/>
              </w:rPr>
              <w:t>may have greater access to staff and peer support</w:t>
            </w:r>
            <w:r w:rsidR="00F677A9">
              <w:rPr>
                <w:rFonts w:asciiTheme="majorHAnsi" w:hAnsiTheme="majorHAnsi" w:cstheme="majorHAnsi"/>
              </w:rPr>
              <w:t>) be supported to</w:t>
            </w:r>
            <w:r w:rsidR="00F677A9" w:rsidRPr="00F96EC4">
              <w:rPr>
                <w:rFonts w:asciiTheme="majorHAnsi" w:hAnsiTheme="majorHAnsi" w:cstheme="majorHAnsi"/>
              </w:rPr>
              <w:t xml:space="preserve"> </w:t>
            </w:r>
            <w:r w:rsidR="00545613" w:rsidRPr="00F96EC4">
              <w:rPr>
                <w:rFonts w:asciiTheme="majorHAnsi" w:hAnsiTheme="majorHAnsi" w:cstheme="majorHAnsi"/>
              </w:rPr>
              <w:t>develop as</w:t>
            </w:r>
            <w:r w:rsidRPr="00F96EC4">
              <w:rPr>
                <w:rFonts w:asciiTheme="majorHAnsi" w:hAnsiTheme="majorHAnsi" w:cstheme="majorHAnsi"/>
              </w:rPr>
              <w:t xml:space="preserve"> </w:t>
            </w:r>
            <w:r w:rsidR="00DB7D56" w:rsidRPr="00F96EC4">
              <w:rPr>
                <w:rFonts w:asciiTheme="majorHAnsi" w:hAnsiTheme="majorHAnsi" w:cstheme="majorHAnsi"/>
              </w:rPr>
              <w:t>independent</w:t>
            </w:r>
            <w:r w:rsidRPr="00F96EC4">
              <w:rPr>
                <w:rFonts w:asciiTheme="majorHAnsi" w:hAnsiTheme="majorHAnsi" w:cstheme="majorHAnsi"/>
              </w:rPr>
              <w:t xml:space="preserve"> learners</w:t>
            </w:r>
            <w:r w:rsidR="00DB7D56" w:rsidRPr="00F96EC4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3119" w:type="dxa"/>
          </w:tcPr>
          <w:p w14:paraId="2E4CD529" w14:textId="2FBF6CE9" w:rsidR="003F3B4A" w:rsidRPr="00F96EC4" w:rsidRDefault="00E56B8E" w:rsidP="0037427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</w:rPr>
            </w:pPr>
            <w:r w:rsidRPr="00F96EC4">
              <w:rPr>
                <w:rFonts w:asciiTheme="majorHAnsi" w:hAnsiTheme="majorHAnsi" w:cstheme="majorHAnsi"/>
                <w:sz w:val="22"/>
              </w:rPr>
              <w:t xml:space="preserve">How will you provide opportunities for your students to develop and demonstrate </w:t>
            </w:r>
            <w:r w:rsidR="00F677A9">
              <w:rPr>
                <w:rFonts w:asciiTheme="majorHAnsi" w:hAnsiTheme="majorHAnsi" w:cstheme="majorHAnsi"/>
                <w:sz w:val="22"/>
              </w:rPr>
              <w:t>capabilities</w:t>
            </w:r>
            <w:r w:rsidRPr="00F96EC4">
              <w:rPr>
                <w:rFonts w:asciiTheme="majorHAnsi" w:hAnsiTheme="majorHAnsi" w:cstheme="majorHAnsi"/>
                <w:sz w:val="22"/>
              </w:rPr>
              <w:t xml:space="preserve"> such as presentation and practical skills? </w:t>
            </w:r>
          </w:p>
        </w:tc>
        <w:tc>
          <w:tcPr>
            <w:tcW w:w="3222" w:type="dxa"/>
          </w:tcPr>
          <w:p w14:paraId="2C32776E" w14:textId="5DCD2C69" w:rsidR="004A7313" w:rsidRDefault="004A7313" w:rsidP="0037427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Ensure that staff are adequately trained in the use of any </w:t>
            </w:r>
            <w:r w:rsidRPr="0026634B">
              <w:rPr>
                <w:rFonts w:asciiTheme="majorHAnsi" w:hAnsiTheme="majorHAnsi" w:cstheme="majorHAnsi"/>
                <w:sz w:val="22"/>
                <w:szCs w:val="22"/>
              </w:rPr>
              <w:t xml:space="preserve">technology </w:t>
            </w:r>
            <w:r w:rsidR="00ED4320" w:rsidRPr="00BF2C36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ED4320" w:rsidRPr="002F6E22">
              <w:rPr>
                <w:rFonts w:asciiTheme="majorHAnsi" w:hAnsiTheme="majorHAnsi" w:cstheme="majorHAnsi"/>
                <w:sz w:val="22"/>
                <w:szCs w:val="22"/>
              </w:rPr>
              <w:t xml:space="preserve">hey are to use </w:t>
            </w:r>
            <w:r w:rsidR="00CF3847" w:rsidRPr="0026634B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r w:rsidR="00CF3847">
              <w:rPr>
                <w:rFonts w:asciiTheme="majorHAnsi" w:hAnsiTheme="majorHAnsi" w:cstheme="majorHAnsi"/>
                <w:sz w:val="22"/>
              </w:rPr>
              <w:t xml:space="preserve"> are prepared for solving basic problems which may occur (muting mics, selecting correct audio devices etc,) </w:t>
            </w:r>
            <w:r>
              <w:rPr>
                <w:rFonts w:asciiTheme="majorHAnsi" w:hAnsiTheme="majorHAnsi" w:cstheme="majorHAnsi"/>
                <w:sz w:val="22"/>
              </w:rPr>
              <w:t xml:space="preserve">so that the tech does not impede the session. </w:t>
            </w:r>
          </w:p>
          <w:p w14:paraId="2276F3CB" w14:textId="77777777" w:rsidR="003F3B4A" w:rsidRDefault="004A7313" w:rsidP="0037427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You could </w:t>
            </w:r>
            <w:r w:rsidR="00F67A9F">
              <w:rPr>
                <w:rFonts w:asciiTheme="majorHAnsi" w:hAnsiTheme="majorHAnsi" w:cstheme="majorHAnsi"/>
                <w:sz w:val="22"/>
              </w:rPr>
              <w:t>consider</w:t>
            </w:r>
            <w:r w:rsidR="00F67A9F" w:rsidRPr="0005562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F677A9">
              <w:rPr>
                <w:rFonts w:asciiTheme="majorHAnsi" w:hAnsiTheme="majorHAnsi" w:cstheme="majorHAnsi"/>
                <w:sz w:val="22"/>
              </w:rPr>
              <w:t>v</w:t>
            </w:r>
            <w:r w:rsidR="00F67A9F" w:rsidRPr="00055629">
              <w:rPr>
                <w:rFonts w:asciiTheme="majorHAnsi" w:hAnsiTheme="majorHAnsi" w:cstheme="majorHAnsi"/>
                <w:sz w:val="22"/>
              </w:rPr>
              <w:t>ide</w:t>
            </w:r>
            <w:r w:rsidR="00F67A9F">
              <w:rPr>
                <w:rFonts w:asciiTheme="majorHAnsi" w:hAnsiTheme="majorHAnsi" w:cstheme="majorHAnsi"/>
                <w:sz w:val="22"/>
              </w:rPr>
              <w:t>oing</w:t>
            </w:r>
            <w:r w:rsidR="00502C52" w:rsidRPr="0005562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025D8B" w:rsidRPr="00055629">
              <w:rPr>
                <w:rFonts w:asciiTheme="majorHAnsi" w:hAnsiTheme="majorHAnsi" w:cstheme="majorHAnsi"/>
                <w:sz w:val="22"/>
              </w:rPr>
              <w:t>practical activities be</w:t>
            </w:r>
            <w:r w:rsidR="004B6CB0" w:rsidRPr="00055629">
              <w:rPr>
                <w:rFonts w:asciiTheme="majorHAnsi" w:hAnsiTheme="majorHAnsi" w:cstheme="majorHAnsi"/>
                <w:sz w:val="22"/>
              </w:rPr>
              <w:t>ing</w:t>
            </w:r>
            <w:r w:rsidR="00025D8B" w:rsidRPr="00055629">
              <w:rPr>
                <w:rFonts w:asciiTheme="majorHAnsi" w:hAnsiTheme="majorHAnsi" w:cstheme="majorHAnsi"/>
                <w:sz w:val="22"/>
              </w:rPr>
              <w:t xml:space="preserve"> un</w:t>
            </w:r>
            <w:r w:rsidR="008B3298" w:rsidRPr="00055629">
              <w:rPr>
                <w:rFonts w:asciiTheme="majorHAnsi" w:hAnsiTheme="majorHAnsi" w:cstheme="majorHAnsi"/>
                <w:sz w:val="22"/>
              </w:rPr>
              <w:t xml:space="preserve">dertaken </w:t>
            </w:r>
            <w:r w:rsidR="00787406" w:rsidRPr="00055629">
              <w:rPr>
                <w:rFonts w:asciiTheme="majorHAnsi" w:hAnsiTheme="majorHAnsi" w:cstheme="majorHAnsi"/>
                <w:sz w:val="22"/>
              </w:rPr>
              <w:t>with narration as a step-by-step guide for all students</w:t>
            </w:r>
            <w:r w:rsidR="00502C52" w:rsidRPr="00055629">
              <w:rPr>
                <w:rFonts w:asciiTheme="majorHAnsi" w:hAnsiTheme="majorHAnsi" w:cstheme="majorHAnsi"/>
                <w:sz w:val="22"/>
              </w:rPr>
              <w:t>,</w:t>
            </w:r>
            <w:r w:rsidR="002C33BA" w:rsidRPr="00055629">
              <w:rPr>
                <w:rFonts w:asciiTheme="majorHAnsi" w:hAnsiTheme="majorHAnsi" w:cstheme="majorHAnsi"/>
                <w:sz w:val="22"/>
              </w:rPr>
              <w:t xml:space="preserve"> especially if using specialist equipment/processes</w:t>
            </w:r>
            <w:r w:rsidR="0029110C">
              <w:rPr>
                <w:rFonts w:asciiTheme="majorHAnsi" w:hAnsiTheme="majorHAnsi" w:cstheme="majorHAnsi"/>
                <w:sz w:val="22"/>
              </w:rPr>
              <w:t>.</w:t>
            </w:r>
            <w:r w:rsidR="00F677A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29110C">
              <w:rPr>
                <w:rFonts w:asciiTheme="majorHAnsi" w:hAnsiTheme="majorHAnsi" w:cstheme="majorHAnsi"/>
                <w:sz w:val="22"/>
              </w:rPr>
              <w:t xml:space="preserve">You also </w:t>
            </w:r>
            <w:r w:rsidR="00F677A9">
              <w:rPr>
                <w:rFonts w:asciiTheme="majorHAnsi" w:hAnsiTheme="majorHAnsi" w:cstheme="majorHAnsi"/>
                <w:sz w:val="22"/>
              </w:rPr>
              <w:t xml:space="preserve">may </w:t>
            </w:r>
            <w:r w:rsidR="00CF3847">
              <w:rPr>
                <w:rFonts w:asciiTheme="majorHAnsi" w:hAnsiTheme="majorHAnsi" w:cstheme="majorHAnsi"/>
                <w:sz w:val="22"/>
              </w:rPr>
              <w:t>consider a</w:t>
            </w:r>
            <w:r w:rsidR="00787406" w:rsidRPr="00055629">
              <w:rPr>
                <w:rFonts w:asciiTheme="majorHAnsi" w:hAnsiTheme="majorHAnsi" w:cstheme="majorHAnsi"/>
                <w:sz w:val="22"/>
              </w:rPr>
              <w:t>llow</w:t>
            </w:r>
            <w:r w:rsidR="00CF3847">
              <w:rPr>
                <w:rFonts w:asciiTheme="majorHAnsi" w:hAnsiTheme="majorHAnsi" w:cstheme="majorHAnsi"/>
                <w:sz w:val="22"/>
              </w:rPr>
              <w:t>ing</w:t>
            </w:r>
            <w:r w:rsidR="00787406" w:rsidRPr="00055629">
              <w:rPr>
                <w:rFonts w:asciiTheme="majorHAnsi" w:hAnsiTheme="majorHAnsi" w:cstheme="majorHAnsi"/>
                <w:sz w:val="22"/>
              </w:rPr>
              <w:t xml:space="preserve"> all students</w:t>
            </w:r>
            <w:r w:rsidR="00F35F80" w:rsidRPr="0005562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787406" w:rsidRPr="00055629">
              <w:rPr>
                <w:rFonts w:asciiTheme="majorHAnsi" w:hAnsiTheme="majorHAnsi" w:cstheme="majorHAnsi"/>
                <w:sz w:val="22"/>
              </w:rPr>
              <w:t xml:space="preserve">to present through an online session or pre-record the presentation. </w:t>
            </w:r>
          </w:p>
          <w:p w14:paraId="0EF44391" w14:textId="3D207D62" w:rsidR="0098756B" w:rsidRPr="00055629" w:rsidRDefault="0098756B" w:rsidP="0037427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</w:rPr>
            </w:pPr>
          </w:p>
        </w:tc>
      </w:tr>
      <w:tr w:rsidR="00E0556D" w:rsidRPr="001F4177" w14:paraId="005B29B0" w14:textId="4BD0CF0B" w:rsidTr="00F96EC4">
        <w:tc>
          <w:tcPr>
            <w:tcW w:w="1555" w:type="dxa"/>
            <w:shd w:val="clear" w:color="auto" w:fill="FEEAAA"/>
          </w:tcPr>
          <w:p w14:paraId="401C0CEE" w14:textId="29E0EBA4" w:rsidR="00357417" w:rsidRPr="00055629" w:rsidRDefault="00357417">
            <w:pPr>
              <w:rPr>
                <w:rFonts w:asciiTheme="majorHAnsi" w:hAnsiTheme="majorHAnsi" w:cstheme="majorHAnsi"/>
                <w:b/>
              </w:rPr>
            </w:pPr>
            <w:r w:rsidRPr="00055629">
              <w:rPr>
                <w:rFonts w:asciiTheme="majorHAnsi" w:hAnsiTheme="majorHAnsi" w:cstheme="majorHAnsi"/>
                <w:b/>
              </w:rPr>
              <w:lastRenderedPageBreak/>
              <w:t>6. Students should be appropriately challenged</w:t>
            </w:r>
          </w:p>
          <w:p w14:paraId="67752C04" w14:textId="0F28CF12" w:rsidR="003F3B4A" w:rsidRPr="00055629" w:rsidRDefault="003F3B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152670B8" w14:textId="24ACE2F1" w:rsidR="003F3B4A" w:rsidRPr="00F96EC4" w:rsidRDefault="000D73E9" w:rsidP="4E2C568E">
            <w:pPr>
              <w:rPr>
                <w:rFonts w:asciiTheme="majorHAnsi" w:hAnsiTheme="majorHAnsi" w:cstheme="majorHAnsi"/>
              </w:rPr>
            </w:pPr>
            <w:r w:rsidRPr="00F96EC4">
              <w:rPr>
                <w:rFonts w:asciiTheme="majorHAnsi" w:hAnsiTheme="majorHAnsi" w:cstheme="majorHAnsi"/>
              </w:rPr>
              <w:t xml:space="preserve">How does the </w:t>
            </w:r>
            <w:r w:rsidR="00181803" w:rsidRPr="00F96EC4">
              <w:rPr>
                <w:rStyle w:val="normaltextrun"/>
                <w:rFonts w:asciiTheme="majorHAnsi" w:hAnsiTheme="majorHAnsi" w:cstheme="majorHAnsi"/>
              </w:rPr>
              <w:t xml:space="preserve">course/module/session </w:t>
            </w:r>
            <w:r w:rsidRPr="00F96EC4">
              <w:rPr>
                <w:rFonts w:asciiTheme="majorHAnsi" w:hAnsiTheme="majorHAnsi" w:cstheme="majorHAnsi"/>
              </w:rPr>
              <w:t xml:space="preserve">allow students to explore and learn </w:t>
            </w:r>
            <w:r w:rsidR="00C440C2" w:rsidRPr="00F96EC4">
              <w:rPr>
                <w:rFonts w:asciiTheme="majorHAnsi" w:hAnsiTheme="majorHAnsi" w:cstheme="majorHAnsi"/>
              </w:rPr>
              <w:t xml:space="preserve">in a way and pace that suits their individual needs </w:t>
            </w:r>
            <w:r w:rsidR="00F27656" w:rsidRPr="00F96EC4">
              <w:rPr>
                <w:rFonts w:asciiTheme="majorHAnsi" w:hAnsiTheme="majorHAnsi" w:cstheme="majorHAnsi"/>
              </w:rPr>
              <w:t>– supporting and extending where needed</w:t>
            </w:r>
            <w:r w:rsidR="00F767D1" w:rsidRPr="00F96EC4">
              <w:rPr>
                <w:rFonts w:asciiTheme="majorHAnsi" w:hAnsiTheme="majorHAnsi" w:cstheme="majorHAnsi"/>
              </w:rPr>
              <w:t xml:space="preserve"> (</w:t>
            </w:r>
            <w:r w:rsidR="00EE5C23" w:rsidRPr="00F96EC4">
              <w:rPr>
                <w:rFonts w:asciiTheme="majorHAnsi" w:hAnsiTheme="majorHAnsi" w:cstheme="majorHAnsi"/>
              </w:rPr>
              <w:t>e.g.</w:t>
            </w:r>
            <w:r w:rsidR="00F767D1" w:rsidRPr="00F96EC4">
              <w:rPr>
                <w:rFonts w:asciiTheme="majorHAnsi" w:hAnsiTheme="majorHAnsi" w:cstheme="majorHAnsi"/>
              </w:rPr>
              <w:t xml:space="preserve"> </w:t>
            </w:r>
            <w:r w:rsidR="003721D8">
              <w:rPr>
                <w:rFonts w:asciiTheme="majorHAnsi" w:hAnsiTheme="majorHAnsi" w:cstheme="majorHAnsi"/>
              </w:rPr>
              <w:t xml:space="preserve">through </w:t>
            </w:r>
            <w:r w:rsidR="00F767D1" w:rsidRPr="00F96EC4">
              <w:rPr>
                <w:rFonts w:asciiTheme="majorHAnsi" w:hAnsiTheme="majorHAnsi" w:cstheme="majorHAnsi"/>
              </w:rPr>
              <w:t>reading lists, videos, discussion questions</w:t>
            </w:r>
            <w:r w:rsidR="659D4480" w:rsidRPr="00F96EC4">
              <w:rPr>
                <w:rFonts w:asciiTheme="majorHAnsi" w:hAnsiTheme="majorHAnsi" w:cstheme="majorHAnsi"/>
              </w:rPr>
              <w:t xml:space="preserve">, differentiated reading and activities for after the session </w:t>
            </w:r>
            <w:r w:rsidR="00F767D1" w:rsidRPr="00F96EC4">
              <w:rPr>
                <w:rFonts w:asciiTheme="majorHAnsi" w:hAnsiTheme="majorHAnsi" w:cstheme="majorHAnsi"/>
              </w:rPr>
              <w:t>)</w:t>
            </w:r>
            <w:r w:rsidR="00545613" w:rsidRPr="00F96EC4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3260" w:type="dxa"/>
          </w:tcPr>
          <w:p w14:paraId="7EBEFF75" w14:textId="69F2F127" w:rsidR="003F3B4A" w:rsidRPr="00F96EC4" w:rsidRDefault="004B6CB0" w:rsidP="4E2C568E">
            <w:pPr>
              <w:rPr>
                <w:rFonts w:asciiTheme="majorHAnsi" w:hAnsiTheme="majorHAnsi" w:cstheme="majorHAnsi"/>
              </w:rPr>
            </w:pPr>
            <w:r w:rsidRPr="00F96EC4">
              <w:rPr>
                <w:rFonts w:asciiTheme="majorHAnsi" w:hAnsiTheme="majorHAnsi" w:cstheme="majorHAnsi"/>
              </w:rPr>
              <w:t xml:space="preserve">Is F2F students’ learning being restricted in any way due to accommodations made for online students? How can you ensure they are not? </w:t>
            </w:r>
          </w:p>
        </w:tc>
        <w:tc>
          <w:tcPr>
            <w:tcW w:w="3119" w:type="dxa"/>
          </w:tcPr>
          <w:p w14:paraId="3DDF48EE" w14:textId="551ADFAE" w:rsidR="003F3B4A" w:rsidRPr="00F96EC4" w:rsidRDefault="003A2D0A">
            <w:pPr>
              <w:rPr>
                <w:rFonts w:asciiTheme="majorHAnsi" w:hAnsiTheme="majorHAnsi" w:cstheme="majorHAnsi"/>
              </w:rPr>
            </w:pPr>
            <w:r w:rsidRPr="00F96EC4">
              <w:rPr>
                <w:rFonts w:asciiTheme="majorHAnsi" w:hAnsiTheme="majorHAnsi" w:cstheme="majorHAnsi"/>
              </w:rPr>
              <w:t xml:space="preserve">How </w:t>
            </w:r>
            <w:r w:rsidR="00545613" w:rsidRPr="00F96EC4">
              <w:rPr>
                <w:rFonts w:asciiTheme="majorHAnsi" w:hAnsiTheme="majorHAnsi" w:cstheme="majorHAnsi"/>
              </w:rPr>
              <w:t>are</w:t>
            </w:r>
            <w:r w:rsidRPr="00F96EC4">
              <w:rPr>
                <w:rFonts w:asciiTheme="majorHAnsi" w:hAnsiTheme="majorHAnsi" w:cstheme="majorHAnsi"/>
              </w:rPr>
              <w:t xml:space="preserve"> online students be</w:t>
            </w:r>
            <w:r w:rsidR="00545613" w:rsidRPr="00F96EC4">
              <w:rPr>
                <w:rFonts w:asciiTheme="majorHAnsi" w:hAnsiTheme="majorHAnsi" w:cstheme="majorHAnsi"/>
              </w:rPr>
              <w:t>ing challenged,</w:t>
            </w:r>
            <w:r w:rsidRPr="00F96EC4">
              <w:rPr>
                <w:rFonts w:asciiTheme="majorHAnsi" w:hAnsiTheme="majorHAnsi" w:cstheme="majorHAnsi"/>
              </w:rPr>
              <w:t xml:space="preserve"> </w:t>
            </w:r>
            <w:r w:rsidR="00545613" w:rsidRPr="00F96EC4">
              <w:rPr>
                <w:rFonts w:asciiTheme="majorHAnsi" w:hAnsiTheme="majorHAnsi" w:cstheme="majorHAnsi"/>
              </w:rPr>
              <w:t>given their</w:t>
            </w:r>
            <w:r w:rsidRPr="00F96EC4">
              <w:rPr>
                <w:rFonts w:asciiTheme="majorHAnsi" w:hAnsiTheme="majorHAnsi" w:cstheme="majorHAnsi"/>
              </w:rPr>
              <w:t xml:space="preserve"> </w:t>
            </w:r>
            <w:r w:rsidR="00492F56" w:rsidRPr="00F96EC4">
              <w:rPr>
                <w:rFonts w:asciiTheme="majorHAnsi" w:hAnsiTheme="majorHAnsi" w:cstheme="majorHAnsi"/>
              </w:rPr>
              <w:t>different access to materials, resources</w:t>
            </w:r>
            <w:r w:rsidR="00A04E03" w:rsidRPr="00F96EC4">
              <w:rPr>
                <w:rFonts w:asciiTheme="majorHAnsi" w:hAnsiTheme="majorHAnsi" w:cstheme="majorHAnsi"/>
              </w:rPr>
              <w:t>,</w:t>
            </w:r>
            <w:r w:rsidR="00492F56" w:rsidRPr="00F96EC4">
              <w:rPr>
                <w:rFonts w:asciiTheme="majorHAnsi" w:hAnsiTheme="majorHAnsi" w:cstheme="majorHAnsi"/>
              </w:rPr>
              <w:t xml:space="preserve"> and spaces</w:t>
            </w:r>
            <w:r w:rsidR="00545613" w:rsidRPr="00F96EC4">
              <w:rPr>
                <w:rFonts w:asciiTheme="majorHAnsi" w:hAnsiTheme="majorHAnsi" w:cstheme="majorHAnsi"/>
              </w:rPr>
              <w:t xml:space="preserve">? </w:t>
            </w:r>
            <w:r w:rsidR="00CF3847" w:rsidRPr="00F96EC4">
              <w:rPr>
                <w:rFonts w:asciiTheme="majorHAnsi" w:hAnsiTheme="majorHAnsi" w:cstheme="majorHAnsi"/>
              </w:rPr>
              <w:t xml:space="preserve">Consider what technology is available and how it can be used to provide the best experience for remote students. </w:t>
            </w:r>
            <w:r w:rsidR="00545613" w:rsidRPr="00F96EC4">
              <w:rPr>
                <w:rFonts w:asciiTheme="majorHAnsi" w:hAnsiTheme="majorHAnsi" w:cstheme="majorHAnsi"/>
              </w:rPr>
              <w:t xml:space="preserve">How do you know </w:t>
            </w:r>
            <w:r w:rsidR="00181803" w:rsidRPr="00F96EC4">
              <w:rPr>
                <w:rFonts w:asciiTheme="majorHAnsi" w:hAnsiTheme="majorHAnsi" w:cstheme="majorHAnsi"/>
              </w:rPr>
              <w:t>an individual student is</w:t>
            </w:r>
            <w:r w:rsidR="00545613" w:rsidRPr="00F96EC4">
              <w:rPr>
                <w:rFonts w:asciiTheme="majorHAnsi" w:hAnsiTheme="majorHAnsi" w:cstheme="majorHAnsi"/>
              </w:rPr>
              <w:t xml:space="preserve"> being challenged?</w:t>
            </w:r>
            <w:r w:rsidR="00492F56" w:rsidRPr="00F96EC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222" w:type="dxa"/>
          </w:tcPr>
          <w:p w14:paraId="427B20A1" w14:textId="77777777" w:rsidR="00E0264E" w:rsidRDefault="00CF3847" w:rsidP="4E2C568E">
            <w:pPr>
              <w:rPr>
                <w:rFonts w:asciiTheme="majorHAnsi" w:hAnsiTheme="majorHAnsi" w:cstheme="majorHAnsi"/>
              </w:rPr>
            </w:pPr>
            <w:r w:rsidRPr="00F96EC4">
              <w:rPr>
                <w:rFonts w:asciiTheme="majorHAnsi" w:hAnsiTheme="majorHAnsi" w:cstheme="majorHAnsi"/>
              </w:rPr>
              <w:t>Consider</w:t>
            </w:r>
            <w:r w:rsidR="00E0556D" w:rsidRPr="00F96EC4">
              <w:rPr>
                <w:rFonts w:asciiTheme="majorHAnsi" w:hAnsiTheme="majorHAnsi" w:cstheme="majorHAnsi"/>
              </w:rPr>
              <w:t xml:space="preserve"> </w:t>
            </w:r>
            <w:r w:rsidR="00F67A9F" w:rsidRPr="00F96EC4">
              <w:rPr>
                <w:rFonts w:asciiTheme="majorHAnsi" w:hAnsiTheme="majorHAnsi" w:cstheme="majorHAnsi"/>
              </w:rPr>
              <w:t>developing a</w:t>
            </w:r>
            <w:r w:rsidR="004D644E" w:rsidRPr="00F96EC4">
              <w:rPr>
                <w:rFonts w:asciiTheme="majorHAnsi" w:hAnsiTheme="majorHAnsi" w:cstheme="majorHAnsi"/>
              </w:rPr>
              <w:t xml:space="preserve"> range of pre and post activities that all students can engage with if they need further </w:t>
            </w:r>
            <w:r w:rsidR="00B27B45" w:rsidRPr="00F96EC4">
              <w:rPr>
                <w:rFonts w:asciiTheme="majorHAnsi" w:hAnsiTheme="majorHAnsi" w:cstheme="majorHAnsi"/>
              </w:rPr>
              <w:t>support or have an interest in the specific subject area</w:t>
            </w:r>
            <w:r w:rsidR="004B6CB0" w:rsidRPr="00F96EC4">
              <w:rPr>
                <w:rFonts w:asciiTheme="majorHAnsi" w:hAnsiTheme="majorHAnsi" w:cstheme="majorHAnsi"/>
              </w:rPr>
              <w:t xml:space="preserve"> and</w:t>
            </w:r>
            <w:r w:rsidR="00B27B45" w:rsidRPr="00F96EC4">
              <w:rPr>
                <w:rFonts w:asciiTheme="majorHAnsi" w:hAnsiTheme="majorHAnsi" w:cstheme="majorHAnsi"/>
              </w:rPr>
              <w:t xml:space="preserve"> </w:t>
            </w:r>
            <w:r w:rsidR="00593386" w:rsidRPr="00F96EC4">
              <w:rPr>
                <w:rFonts w:asciiTheme="majorHAnsi" w:hAnsiTheme="majorHAnsi" w:cstheme="majorHAnsi"/>
              </w:rPr>
              <w:t>acknowledge</w:t>
            </w:r>
            <w:r w:rsidR="00B27B45" w:rsidRPr="00F96EC4">
              <w:rPr>
                <w:rFonts w:asciiTheme="majorHAnsi" w:hAnsiTheme="majorHAnsi" w:cstheme="majorHAnsi"/>
              </w:rPr>
              <w:t xml:space="preserve"> when they have been </w:t>
            </w:r>
            <w:r w:rsidR="00593386" w:rsidRPr="00F96EC4">
              <w:rPr>
                <w:rFonts w:asciiTheme="majorHAnsi" w:hAnsiTheme="majorHAnsi" w:cstheme="majorHAnsi"/>
              </w:rPr>
              <w:t xml:space="preserve">utilised. </w:t>
            </w:r>
          </w:p>
          <w:p w14:paraId="24A3A9C5" w14:textId="1DDD00F9" w:rsidR="003F3B4A" w:rsidRPr="00F96EC4" w:rsidRDefault="009C6F7D" w:rsidP="4E2C568E">
            <w:pPr>
              <w:rPr>
                <w:rFonts w:asciiTheme="majorHAnsi" w:hAnsiTheme="majorHAnsi" w:cstheme="majorHAnsi"/>
              </w:rPr>
            </w:pPr>
            <w:r w:rsidRPr="00F96EC4">
              <w:rPr>
                <w:rFonts w:asciiTheme="majorHAnsi" w:hAnsiTheme="majorHAnsi" w:cstheme="majorHAnsi"/>
              </w:rPr>
              <w:t>Having extra help in your classroom</w:t>
            </w:r>
            <w:r w:rsidR="00BF2C36" w:rsidRPr="00F96EC4">
              <w:rPr>
                <w:rFonts w:asciiTheme="majorHAnsi" w:hAnsiTheme="majorHAnsi" w:cstheme="majorHAnsi"/>
              </w:rPr>
              <w:t>, such as technically capable colleague</w:t>
            </w:r>
            <w:r w:rsidR="003721D8">
              <w:rPr>
                <w:rFonts w:asciiTheme="majorHAnsi" w:hAnsiTheme="majorHAnsi" w:cstheme="majorHAnsi"/>
              </w:rPr>
              <w:t>s</w:t>
            </w:r>
            <w:r w:rsidR="00470F23" w:rsidRPr="00F96EC4">
              <w:rPr>
                <w:rFonts w:asciiTheme="majorHAnsi" w:hAnsiTheme="majorHAnsi" w:cstheme="majorHAnsi"/>
              </w:rPr>
              <w:t xml:space="preserve">, </w:t>
            </w:r>
            <w:r w:rsidR="00CD768D" w:rsidRPr="00F96EC4">
              <w:rPr>
                <w:rFonts w:asciiTheme="majorHAnsi" w:hAnsiTheme="majorHAnsi" w:cstheme="majorHAnsi"/>
              </w:rPr>
              <w:t>activities</w:t>
            </w:r>
            <w:r w:rsidR="00470F23" w:rsidRPr="00F96EC4">
              <w:rPr>
                <w:rFonts w:asciiTheme="majorHAnsi" w:hAnsiTheme="majorHAnsi" w:cstheme="majorHAnsi"/>
              </w:rPr>
              <w:t xml:space="preserve"> designed for the different spaces</w:t>
            </w:r>
            <w:r w:rsidR="00643450" w:rsidRPr="00F96EC4">
              <w:rPr>
                <w:rFonts w:asciiTheme="majorHAnsi" w:hAnsiTheme="majorHAnsi" w:cstheme="majorHAnsi"/>
              </w:rPr>
              <w:t xml:space="preserve"> and using</w:t>
            </w:r>
            <w:r w:rsidR="00470F23" w:rsidRPr="00F96EC4">
              <w:rPr>
                <w:rFonts w:asciiTheme="majorHAnsi" w:hAnsiTheme="majorHAnsi" w:cstheme="majorHAnsi"/>
              </w:rPr>
              <w:t xml:space="preserve"> peer teaching, </w:t>
            </w:r>
            <w:r w:rsidR="00AE357A" w:rsidRPr="00F96EC4">
              <w:rPr>
                <w:rFonts w:asciiTheme="majorHAnsi" w:hAnsiTheme="majorHAnsi" w:cstheme="majorHAnsi"/>
              </w:rPr>
              <w:t>can support you</w:t>
            </w:r>
            <w:r w:rsidR="00CD768D" w:rsidRPr="00F96EC4">
              <w:rPr>
                <w:rFonts w:asciiTheme="majorHAnsi" w:hAnsiTheme="majorHAnsi" w:cstheme="majorHAnsi"/>
              </w:rPr>
              <w:t xml:space="preserve"> to</w:t>
            </w:r>
            <w:r w:rsidR="00470F23" w:rsidRPr="00F96EC4">
              <w:rPr>
                <w:rFonts w:asciiTheme="majorHAnsi" w:hAnsiTheme="majorHAnsi" w:cstheme="majorHAnsi"/>
              </w:rPr>
              <w:t xml:space="preserve"> focus your time on the </w:t>
            </w:r>
            <w:r w:rsidR="005B3758" w:rsidRPr="00F96EC4">
              <w:rPr>
                <w:rFonts w:asciiTheme="majorHAnsi" w:hAnsiTheme="majorHAnsi" w:cstheme="majorHAnsi"/>
              </w:rPr>
              <w:t xml:space="preserve">whole cohort </w:t>
            </w:r>
            <w:r w:rsidR="00470F23" w:rsidRPr="00F96EC4">
              <w:rPr>
                <w:rFonts w:asciiTheme="majorHAnsi" w:hAnsiTheme="majorHAnsi" w:cstheme="majorHAnsi"/>
              </w:rPr>
              <w:t xml:space="preserve">and the learning activity. </w:t>
            </w:r>
          </w:p>
        </w:tc>
      </w:tr>
    </w:tbl>
    <w:p w14:paraId="1BFF1737" w14:textId="59D9E4CC" w:rsidR="00E47E67" w:rsidRPr="00055629" w:rsidRDefault="00E47E67">
      <w:pPr>
        <w:rPr>
          <w:rFonts w:asciiTheme="majorHAnsi" w:hAnsiTheme="majorHAnsi" w:cstheme="majorHAnsi"/>
        </w:rPr>
      </w:pPr>
    </w:p>
    <w:p w14:paraId="172B589A" w14:textId="74F2D466" w:rsidR="00C256C7" w:rsidRPr="00055629" w:rsidRDefault="00C256C7">
      <w:pPr>
        <w:rPr>
          <w:rFonts w:asciiTheme="majorHAnsi" w:hAnsiTheme="majorHAnsi" w:cstheme="majorHAnsi"/>
        </w:rPr>
      </w:pPr>
    </w:p>
    <w:p w14:paraId="5B8AE453" w14:textId="3800651C" w:rsidR="00950EF6" w:rsidRPr="001F4177" w:rsidRDefault="00950EF6" w:rsidP="00B274AC">
      <w:pPr>
        <w:pStyle w:val="Heading3"/>
        <w:rPr>
          <w:rFonts w:cstheme="majorHAnsi"/>
          <w:u w:val="single"/>
        </w:rPr>
      </w:pPr>
      <w:r w:rsidRPr="001F4177">
        <w:rPr>
          <w:rFonts w:cstheme="majorHAnsi"/>
          <w:u w:val="single"/>
        </w:rPr>
        <w:t>Bibliography</w:t>
      </w:r>
    </w:p>
    <w:p w14:paraId="4536A564" w14:textId="45963297" w:rsidR="00B6315A" w:rsidRPr="00055629" w:rsidRDefault="00835696">
      <w:pPr>
        <w:rPr>
          <w:rFonts w:asciiTheme="majorHAnsi" w:hAnsiTheme="majorHAnsi" w:cstheme="majorHAnsi"/>
        </w:rPr>
      </w:pPr>
      <w:hyperlink r:id="rId13" w:history="1">
        <w:r w:rsidR="00B6315A" w:rsidRPr="00055629">
          <w:rPr>
            <w:rStyle w:val="Hyperlink"/>
            <w:rFonts w:asciiTheme="majorHAnsi" w:hAnsiTheme="majorHAnsi" w:cstheme="majorHAnsi"/>
          </w:rPr>
          <w:t>https://core.ac.uk/download/pdf/286086813.pdf</w:t>
        </w:r>
      </w:hyperlink>
      <w:r w:rsidR="00B6315A" w:rsidRPr="00055629">
        <w:rPr>
          <w:rFonts w:asciiTheme="majorHAnsi" w:hAnsiTheme="majorHAnsi" w:cstheme="majorHAnsi"/>
        </w:rPr>
        <w:t xml:space="preserve"> </w:t>
      </w:r>
    </w:p>
    <w:p w14:paraId="22CB3FB2" w14:textId="409C11A7" w:rsidR="00C256C7" w:rsidRPr="00055629" w:rsidRDefault="00835696">
      <w:pPr>
        <w:rPr>
          <w:rFonts w:asciiTheme="majorHAnsi" w:hAnsiTheme="majorHAnsi" w:cstheme="majorHAnsi"/>
        </w:rPr>
      </w:pPr>
      <w:hyperlink r:id="rId14" w:history="1">
        <w:r w:rsidR="00950EF6" w:rsidRPr="00055629">
          <w:rPr>
            <w:rStyle w:val="Hyperlink"/>
            <w:rFonts w:asciiTheme="majorHAnsi" w:hAnsiTheme="majorHAnsi" w:cstheme="majorHAnsi"/>
          </w:rPr>
          <w:t>https://lta.hw.ac.uk/wp-content/uploads/10_RBL-Teaching-online-and-on-campus-simultaneously.pdf</w:t>
        </w:r>
      </w:hyperlink>
      <w:r w:rsidR="00950EF6" w:rsidRPr="00055629">
        <w:rPr>
          <w:rFonts w:asciiTheme="majorHAnsi" w:hAnsiTheme="majorHAnsi" w:cstheme="majorHAnsi"/>
        </w:rPr>
        <w:t xml:space="preserve"> </w:t>
      </w:r>
      <w:r w:rsidR="00C256C7" w:rsidRPr="00055629">
        <w:rPr>
          <w:rFonts w:asciiTheme="majorHAnsi" w:hAnsiTheme="majorHAnsi" w:cstheme="majorHAnsi"/>
        </w:rPr>
        <w:t xml:space="preserve"> </w:t>
      </w:r>
    </w:p>
    <w:p w14:paraId="3E5E16CC" w14:textId="64554F48" w:rsidR="00067110" w:rsidRPr="00055629" w:rsidRDefault="00835696">
      <w:pPr>
        <w:rPr>
          <w:rFonts w:asciiTheme="majorHAnsi" w:hAnsiTheme="majorHAnsi" w:cstheme="majorHAnsi"/>
        </w:rPr>
      </w:pPr>
      <w:hyperlink r:id="rId15" w:history="1">
        <w:r w:rsidR="00693FCA" w:rsidRPr="00055629">
          <w:rPr>
            <w:rStyle w:val="Hyperlink"/>
            <w:rFonts w:asciiTheme="majorHAnsi" w:hAnsiTheme="majorHAnsi" w:cstheme="majorHAnsi"/>
          </w:rPr>
          <w:t>https://keepteaching.unc.edu/modes-of-teaching/hybrid-flexible/</w:t>
        </w:r>
      </w:hyperlink>
    </w:p>
    <w:p w14:paraId="54BD0FCB" w14:textId="3C421AED" w:rsidR="005B13BA" w:rsidRPr="00055629" w:rsidRDefault="00835696">
      <w:pPr>
        <w:rPr>
          <w:rFonts w:asciiTheme="majorHAnsi" w:hAnsiTheme="majorHAnsi" w:cstheme="majorHAnsi"/>
        </w:rPr>
      </w:pPr>
      <w:hyperlink r:id="rId16" w:history="1">
        <w:r w:rsidR="006A3B1D" w:rsidRPr="00055629">
          <w:rPr>
            <w:rStyle w:val="Hyperlink"/>
            <w:rFonts w:asciiTheme="majorHAnsi" w:hAnsiTheme="majorHAnsi" w:cstheme="majorHAnsi"/>
          </w:rPr>
          <w:t>https://www.qaa.ac.uk/docs/qaa/guidance/building-a-taxonomy-for-digital-learning.pdf</w:t>
        </w:r>
      </w:hyperlink>
      <w:r w:rsidR="006A3B1D" w:rsidRPr="00055629">
        <w:rPr>
          <w:rFonts w:asciiTheme="majorHAnsi" w:hAnsiTheme="majorHAnsi" w:cstheme="majorHAnsi"/>
        </w:rPr>
        <w:t xml:space="preserve"> </w:t>
      </w:r>
    </w:p>
    <w:p w14:paraId="2B64A81F" w14:textId="42CF957D" w:rsidR="00693FCA" w:rsidRPr="00055629" w:rsidRDefault="00693FCA">
      <w:pPr>
        <w:rPr>
          <w:rFonts w:asciiTheme="majorHAnsi" w:hAnsiTheme="majorHAnsi" w:cstheme="majorHAnsi"/>
        </w:rPr>
      </w:pPr>
    </w:p>
    <w:p w14:paraId="30A6BE91" w14:textId="13C12076" w:rsidR="00FA204C" w:rsidRPr="001F4177" w:rsidRDefault="00FA204C" w:rsidP="00B274AC">
      <w:pPr>
        <w:pStyle w:val="Heading3"/>
        <w:rPr>
          <w:rFonts w:cstheme="majorHAnsi"/>
          <w:u w:val="single"/>
        </w:rPr>
      </w:pPr>
      <w:bookmarkStart w:id="0" w:name="_Resources"/>
      <w:bookmarkEnd w:id="0"/>
      <w:r w:rsidRPr="001F4177">
        <w:rPr>
          <w:rFonts w:cstheme="majorHAnsi"/>
          <w:u w:val="single"/>
        </w:rPr>
        <w:t xml:space="preserve">Resources </w:t>
      </w:r>
    </w:p>
    <w:p w14:paraId="73071AFE" w14:textId="7112B163" w:rsidR="00FA204C" w:rsidRPr="00055629" w:rsidRDefault="00835696">
      <w:pPr>
        <w:rPr>
          <w:rFonts w:asciiTheme="majorHAnsi" w:hAnsiTheme="majorHAnsi" w:cstheme="majorHAnsi"/>
        </w:rPr>
      </w:pPr>
      <w:hyperlink r:id="rId17" w:history="1">
        <w:r w:rsidR="00D92F6A" w:rsidRPr="00055629">
          <w:rPr>
            <w:rStyle w:val="Hyperlink"/>
            <w:rFonts w:asciiTheme="majorHAnsi" w:hAnsiTheme="majorHAnsi" w:cstheme="majorHAnsi"/>
          </w:rPr>
          <w:t>https://teachlearn.leedsbeckett.ac.uk/teaching-and-learning/inclusive-practice/</w:t>
        </w:r>
      </w:hyperlink>
      <w:r w:rsidR="00D92F6A" w:rsidRPr="00055629">
        <w:rPr>
          <w:rFonts w:asciiTheme="majorHAnsi" w:hAnsiTheme="majorHAnsi" w:cstheme="majorHAnsi"/>
        </w:rPr>
        <w:t xml:space="preserve"> </w:t>
      </w:r>
    </w:p>
    <w:p w14:paraId="752C1813" w14:textId="6591DE2F" w:rsidR="00292D34" w:rsidRPr="00503024" w:rsidRDefault="00835696">
      <w:hyperlink r:id="rId18" w:history="1">
        <w:r w:rsidR="00A04E03" w:rsidRPr="00055629">
          <w:rPr>
            <w:rStyle w:val="Hyperlink"/>
            <w:rFonts w:asciiTheme="majorHAnsi" w:hAnsiTheme="majorHAnsi" w:cstheme="majorHAnsi"/>
          </w:rPr>
          <w:t>https://www.leedsbeckett.ac.uk/staffsite/services/student-services/supporting-our-students/disability-advice/</w:t>
        </w:r>
      </w:hyperlink>
      <w:r w:rsidR="00A04E03">
        <w:t xml:space="preserve"> </w:t>
      </w:r>
    </w:p>
    <w:sectPr w:rsidR="00292D34" w:rsidRPr="00503024" w:rsidSect="00503024">
      <w:foot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058EE" w14:textId="77777777" w:rsidR="00F00A79" w:rsidRDefault="00F00A79" w:rsidP="00781710">
      <w:pPr>
        <w:spacing w:after="0" w:line="240" w:lineRule="auto"/>
      </w:pPr>
      <w:r>
        <w:separator/>
      </w:r>
    </w:p>
  </w:endnote>
  <w:endnote w:type="continuationSeparator" w:id="0">
    <w:p w14:paraId="6F9788B1" w14:textId="77777777" w:rsidR="00F00A79" w:rsidRDefault="00F00A79" w:rsidP="0078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A119" w14:textId="6F752C6D" w:rsidR="00781710" w:rsidRDefault="00781710">
    <w:pPr>
      <w:pStyle w:val="Footer"/>
    </w:pPr>
    <w:r>
      <w:t>RS/RP/SS Centre for Learning and Teaching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A90DD" w14:textId="77777777" w:rsidR="00F00A79" w:rsidRDefault="00F00A79" w:rsidP="00781710">
      <w:pPr>
        <w:spacing w:after="0" w:line="240" w:lineRule="auto"/>
      </w:pPr>
      <w:r>
        <w:separator/>
      </w:r>
    </w:p>
  </w:footnote>
  <w:footnote w:type="continuationSeparator" w:id="0">
    <w:p w14:paraId="30980DE4" w14:textId="77777777" w:rsidR="00F00A79" w:rsidRDefault="00F00A79" w:rsidP="0078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972A1"/>
    <w:multiLevelType w:val="multilevel"/>
    <w:tmpl w:val="9AEA94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9C1714F"/>
    <w:multiLevelType w:val="multilevel"/>
    <w:tmpl w:val="57469F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6CC4515"/>
    <w:multiLevelType w:val="multilevel"/>
    <w:tmpl w:val="085641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A893313"/>
    <w:multiLevelType w:val="multilevel"/>
    <w:tmpl w:val="1632CF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5B7750A"/>
    <w:multiLevelType w:val="multilevel"/>
    <w:tmpl w:val="901867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67"/>
    <w:rsid w:val="00002C30"/>
    <w:rsid w:val="000207D5"/>
    <w:rsid w:val="00025D8B"/>
    <w:rsid w:val="000272DF"/>
    <w:rsid w:val="00040F2F"/>
    <w:rsid w:val="00055629"/>
    <w:rsid w:val="00067110"/>
    <w:rsid w:val="00073555"/>
    <w:rsid w:val="00076714"/>
    <w:rsid w:val="000A3E96"/>
    <w:rsid w:val="000B3066"/>
    <w:rsid w:val="000C137F"/>
    <w:rsid w:val="000C4A38"/>
    <w:rsid w:val="000D73E9"/>
    <w:rsid w:val="000E4AA1"/>
    <w:rsid w:val="000E593C"/>
    <w:rsid w:val="001050BF"/>
    <w:rsid w:val="00134634"/>
    <w:rsid w:val="001464C7"/>
    <w:rsid w:val="00180828"/>
    <w:rsid w:val="00181803"/>
    <w:rsid w:val="0019588F"/>
    <w:rsid w:val="001A5E80"/>
    <w:rsid w:val="001C1284"/>
    <w:rsid w:val="001C590F"/>
    <w:rsid w:val="001C6C56"/>
    <w:rsid w:val="001E1804"/>
    <w:rsid w:val="001F4177"/>
    <w:rsid w:val="00200919"/>
    <w:rsid w:val="00202AC6"/>
    <w:rsid w:val="0026634B"/>
    <w:rsid w:val="00281398"/>
    <w:rsid w:val="0029110C"/>
    <w:rsid w:val="00292D34"/>
    <w:rsid w:val="002A645E"/>
    <w:rsid w:val="002B19E0"/>
    <w:rsid w:val="002B4203"/>
    <w:rsid w:val="002C33BA"/>
    <w:rsid w:val="002D01FD"/>
    <w:rsid w:val="002E4067"/>
    <w:rsid w:val="002E7CD7"/>
    <w:rsid w:val="002F6E22"/>
    <w:rsid w:val="0034294D"/>
    <w:rsid w:val="00345F0C"/>
    <w:rsid w:val="00357417"/>
    <w:rsid w:val="00365AD3"/>
    <w:rsid w:val="003721D8"/>
    <w:rsid w:val="0037427E"/>
    <w:rsid w:val="003A2D0A"/>
    <w:rsid w:val="003B7014"/>
    <w:rsid w:val="003C3A5B"/>
    <w:rsid w:val="003D7645"/>
    <w:rsid w:val="003E4B46"/>
    <w:rsid w:val="003F3B4A"/>
    <w:rsid w:val="00402FD6"/>
    <w:rsid w:val="00406F60"/>
    <w:rsid w:val="004463B8"/>
    <w:rsid w:val="004607D5"/>
    <w:rsid w:val="004620F5"/>
    <w:rsid w:val="00470F23"/>
    <w:rsid w:val="00492F56"/>
    <w:rsid w:val="00493185"/>
    <w:rsid w:val="004A0441"/>
    <w:rsid w:val="004A7313"/>
    <w:rsid w:val="004B6CB0"/>
    <w:rsid w:val="004C14E5"/>
    <w:rsid w:val="004C6043"/>
    <w:rsid w:val="004D616B"/>
    <w:rsid w:val="004D644E"/>
    <w:rsid w:val="005008B4"/>
    <w:rsid w:val="00502C52"/>
    <w:rsid w:val="00503024"/>
    <w:rsid w:val="0051724A"/>
    <w:rsid w:val="00537BDA"/>
    <w:rsid w:val="005411C0"/>
    <w:rsid w:val="00545613"/>
    <w:rsid w:val="00552054"/>
    <w:rsid w:val="00552376"/>
    <w:rsid w:val="00593386"/>
    <w:rsid w:val="005B13BA"/>
    <w:rsid w:val="005B3758"/>
    <w:rsid w:val="005D68FE"/>
    <w:rsid w:val="005E2A5B"/>
    <w:rsid w:val="005F3CC6"/>
    <w:rsid w:val="00624310"/>
    <w:rsid w:val="00626778"/>
    <w:rsid w:val="00643450"/>
    <w:rsid w:val="00643601"/>
    <w:rsid w:val="0064798B"/>
    <w:rsid w:val="006518A8"/>
    <w:rsid w:val="00677C5F"/>
    <w:rsid w:val="00692210"/>
    <w:rsid w:val="00693FCA"/>
    <w:rsid w:val="006A3B1D"/>
    <w:rsid w:val="006B3D7A"/>
    <w:rsid w:val="006B6090"/>
    <w:rsid w:val="006D3BEF"/>
    <w:rsid w:val="006F4741"/>
    <w:rsid w:val="00705E10"/>
    <w:rsid w:val="0074151D"/>
    <w:rsid w:val="00770193"/>
    <w:rsid w:val="00780B2F"/>
    <w:rsid w:val="00781710"/>
    <w:rsid w:val="00783D41"/>
    <w:rsid w:val="00787406"/>
    <w:rsid w:val="007A4349"/>
    <w:rsid w:val="007F4F55"/>
    <w:rsid w:val="008308A1"/>
    <w:rsid w:val="00835E8E"/>
    <w:rsid w:val="00851E6B"/>
    <w:rsid w:val="00857E90"/>
    <w:rsid w:val="00861521"/>
    <w:rsid w:val="008640CE"/>
    <w:rsid w:val="00873038"/>
    <w:rsid w:val="008A5778"/>
    <w:rsid w:val="008A5D0D"/>
    <w:rsid w:val="008B3298"/>
    <w:rsid w:val="008D5405"/>
    <w:rsid w:val="008E312B"/>
    <w:rsid w:val="008E34C9"/>
    <w:rsid w:val="008E3ACB"/>
    <w:rsid w:val="008E469A"/>
    <w:rsid w:val="008F78F8"/>
    <w:rsid w:val="00935C2A"/>
    <w:rsid w:val="00947204"/>
    <w:rsid w:val="00950EF6"/>
    <w:rsid w:val="009575D4"/>
    <w:rsid w:val="00974F92"/>
    <w:rsid w:val="0098756B"/>
    <w:rsid w:val="009B2F1B"/>
    <w:rsid w:val="009C2A68"/>
    <w:rsid w:val="009C6F7D"/>
    <w:rsid w:val="009D72FB"/>
    <w:rsid w:val="009E3318"/>
    <w:rsid w:val="00A04E03"/>
    <w:rsid w:val="00A05356"/>
    <w:rsid w:val="00A100D5"/>
    <w:rsid w:val="00A34C12"/>
    <w:rsid w:val="00A35ACA"/>
    <w:rsid w:val="00A43E76"/>
    <w:rsid w:val="00A64EEA"/>
    <w:rsid w:val="00A8120E"/>
    <w:rsid w:val="00A8539D"/>
    <w:rsid w:val="00AA78A2"/>
    <w:rsid w:val="00AB03D1"/>
    <w:rsid w:val="00AC3F90"/>
    <w:rsid w:val="00AE357A"/>
    <w:rsid w:val="00AE3C03"/>
    <w:rsid w:val="00B045B7"/>
    <w:rsid w:val="00B274AC"/>
    <w:rsid w:val="00B27B45"/>
    <w:rsid w:val="00B4557D"/>
    <w:rsid w:val="00B50371"/>
    <w:rsid w:val="00B51DF3"/>
    <w:rsid w:val="00B6315A"/>
    <w:rsid w:val="00B76125"/>
    <w:rsid w:val="00B84E4D"/>
    <w:rsid w:val="00B9427C"/>
    <w:rsid w:val="00BB3B31"/>
    <w:rsid w:val="00BF2C36"/>
    <w:rsid w:val="00C215C1"/>
    <w:rsid w:val="00C21FB9"/>
    <w:rsid w:val="00C256C7"/>
    <w:rsid w:val="00C440C2"/>
    <w:rsid w:val="00C4593B"/>
    <w:rsid w:val="00C62714"/>
    <w:rsid w:val="00C7592A"/>
    <w:rsid w:val="00C87F3D"/>
    <w:rsid w:val="00CD768D"/>
    <w:rsid w:val="00CE241D"/>
    <w:rsid w:val="00CF3847"/>
    <w:rsid w:val="00D023EC"/>
    <w:rsid w:val="00D03212"/>
    <w:rsid w:val="00D06CAE"/>
    <w:rsid w:val="00D079F9"/>
    <w:rsid w:val="00D07BC9"/>
    <w:rsid w:val="00D10DF2"/>
    <w:rsid w:val="00D43CF5"/>
    <w:rsid w:val="00D44D44"/>
    <w:rsid w:val="00D5393B"/>
    <w:rsid w:val="00D62711"/>
    <w:rsid w:val="00D92F6A"/>
    <w:rsid w:val="00DA36F7"/>
    <w:rsid w:val="00DB7D56"/>
    <w:rsid w:val="00E0264E"/>
    <w:rsid w:val="00E0556D"/>
    <w:rsid w:val="00E2790A"/>
    <w:rsid w:val="00E33DD0"/>
    <w:rsid w:val="00E407EE"/>
    <w:rsid w:val="00E4332E"/>
    <w:rsid w:val="00E47E67"/>
    <w:rsid w:val="00E5057C"/>
    <w:rsid w:val="00E56B8E"/>
    <w:rsid w:val="00E631C3"/>
    <w:rsid w:val="00E67855"/>
    <w:rsid w:val="00E9242B"/>
    <w:rsid w:val="00E93864"/>
    <w:rsid w:val="00EA01CD"/>
    <w:rsid w:val="00EC16CE"/>
    <w:rsid w:val="00ED4320"/>
    <w:rsid w:val="00EE28E6"/>
    <w:rsid w:val="00EE3E84"/>
    <w:rsid w:val="00EE5C23"/>
    <w:rsid w:val="00F00A79"/>
    <w:rsid w:val="00F27656"/>
    <w:rsid w:val="00F35F80"/>
    <w:rsid w:val="00F677A9"/>
    <w:rsid w:val="00F67A9F"/>
    <w:rsid w:val="00F74744"/>
    <w:rsid w:val="00F767D1"/>
    <w:rsid w:val="00F96EC4"/>
    <w:rsid w:val="00FA204C"/>
    <w:rsid w:val="00FD1265"/>
    <w:rsid w:val="00FE5C39"/>
    <w:rsid w:val="00FE7561"/>
    <w:rsid w:val="00FF59E2"/>
    <w:rsid w:val="0DFFF102"/>
    <w:rsid w:val="1E2BB059"/>
    <w:rsid w:val="26E6BD32"/>
    <w:rsid w:val="29478C9C"/>
    <w:rsid w:val="2B54227E"/>
    <w:rsid w:val="2C7F2D5E"/>
    <w:rsid w:val="4E2C568E"/>
    <w:rsid w:val="5EE79369"/>
    <w:rsid w:val="659D4480"/>
    <w:rsid w:val="75D6CDCC"/>
    <w:rsid w:val="7B61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50AE"/>
  <w15:chartTrackingRefBased/>
  <w15:docId w15:val="{E9596D30-1634-46BC-8D5A-B4BD279A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5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D72FB"/>
  </w:style>
  <w:style w:type="character" w:customStyle="1" w:styleId="eop">
    <w:name w:val="eop"/>
    <w:basedOn w:val="DefaultParagraphFont"/>
    <w:rsid w:val="009D72FB"/>
  </w:style>
  <w:style w:type="character" w:customStyle="1" w:styleId="Heading1Char">
    <w:name w:val="Heading 1 Char"/>
    <w:basedOn w:val="DefaultParagraphFont"/>
    <w:link w:val="Heading1"/>
    <w:uiPriority w:val="9"/>
    <w:rsid w:val="00E055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50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E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6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3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3B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C6C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6C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41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1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710"/>
  </w:style>
  <w:style w:type="paragraph" w:styleId="Footer">
    <w:name w:val="footer"/>
    <w:basedOn w:val="Normal"/>
    <w:link w:val="FooterChar"/>
    <w:uiPriority w:val="99"/>
    <w:unhideWhenUsed/>
    <w:rsid w:val="00781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10"/>
  </w:style>
  <w:style w:type="paragraph" w:styleId="ListParagraph">
    <w:name w:val="List Paragraph"/>
    <w:basedOn w:val="Normal"/>
    <w:uiPriority w:val="34"/>
    <w:qFormat/>
    <w:rsid w:val="00E0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e.ac.uk/download/pdf/286086813.pdf" TargetMode="External"/><Relationship Id="rId18" Type="http://schemas.openxmlformats.org/officeDocument/2006/relationships/hyperlink" Target="https://www.leedsbeckett.ac.uk/staffsite/services/student-services/supporting-our-students/disability-advic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chlearn.leedsbeckett.ac.uk/guides/mybeckett-and-digital-learning-guides/collaborate-ultra/choosing-a-digital-classroom-tool/" TargetMode="External"/><Relationship Id="rId17" Type="http://schemas.openxmlformats.org/officeDocument/2006/relationships/hyperlink" Target="https://teachlearn.leedsbeckett.ac.uk/teaching-and-learning/inclusive-practi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qaa.ac.uk/docs/qaa/guidance/building-a-taxonomy-for-digital-learning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edsbeckett.ac.uk/staffsite/services/it-services/it-help/it-service-des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eepteaching.unc.edu/modes-of-teaching/hybrid-flexible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ta.hw.ac.uk/wp-content/uploads/10_RBL-Teaching-online-and-on-campus-simultaneous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7108DEED9C140A83995A0EA646FC4" ma:contentTypeVersion="13" ma:contentTypeDescription="Create a new document." ma:contentTypeScope="" ma:versionID="cb715fde3750bccde6e645c324da0e19">
  <xsd:schema xmlns:xsd="http://www.w3.org/2001/XMLSchema" xmlns:xs="http://www.w3.org/2001/XMLSchema" xmlns:p="http://schemas.microsoft.com/office/2006/metadata/properties" xmlns:ns3="de836911-96a7-4452-a329-0c5fff26574e" xmlns:ns4="1f184949-3b1a-45c2-9d10-8e0336e03528" targetNamespace="http://schemas.microsoft.com/office/2006/metadata/properties" ma:root="true" ma:fieldsID="97c15c636e59f7978699d709d3a2382c" ns3:_="" ns4:_="">
    <xsd:import namespace="de836911-96a7-4452-a329-0c5fff26574e"/>
    <xsd:import namespace="1f184949-3b1a-45c2-9d10-8e0336e035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36911-96a7-4452-a329-0c5fff265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4949-3b1a-45c2-9d10-8e0336e03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77A03B-77BB-44C8-AF24-F60FD9487C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C2540-2C2C-4A1C-8341-835694F42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36911-96a7-4452-a329-0c5fff26574e"/>
    <ds:schemaRef ds:uri="1f184949-3b1a-45c2-9d10-8e0336e03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4BCCE-A30F-4F68-B3A1-4EE150DD7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337C4-E3BA-40A3-BD4F-65DE52BA1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Pickford, Ruth</dc:creator>
  <cp:keywords/>
  <dc:description/>
  <cp:lastModifiedBy>Sellers, Rebecca</cp:lastModifiedBy>
  <cp:revision>2</cp:revision>
  <cp:lastPrinted>2021-09-14T09:58:00Z</cp:lastPrinted>
  <dcterms:created xsi:type="dcterms:W3CDTF">2021-09-23T13:20:00Z</dcterms:created>
  <dcterms:modified xsi:type="dcterms:W3CDTF">2021-09-23T13:20:00Z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0x0101008847108DEED9C140A83995A0EA646FC4</vt:lpwstr>
  </property>
</Properties>
</file>